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distribute"/>
        <w:rPr>
          <w:rFonts w:eastAsia="黑体"/>
          <w:sz w:val="44"/>
          <w:szCs w:val="44"/>
        </w:rPr>
      </w:pPr>
      <w:bookmarkStart w:id="0" w:name="_Toc493528140"/>
    </w:p>
    <w:p w:rsidR="00EA0B44" w:rsidRDefault="00731755">
      <w:pPr>
        <w:pStyle w:val="12"/>
        <w:spacing w:before="156" w:after="156" w:line="400" w:lineRule="atLeast"/>
        <w:ind w:firstLineChars="0" w:firstLine="0"/>
        <w:contextualSpacing/>
        <w:jc w:val="distribute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绿色食品生产操作规程</w:t>
      </w:r>
    </w:p>
    <w:p w:rsidR="00EA0B44" w:rsidRPr="001B5324" w:rsidRDefault="00731755">
      <w:pPr>
        <w:pStyle w:val="12"/>
        <w:spacing w:before="156" w:after="156" w:line="400" w:lineRule="atLeast"/>
        <w:ind w:firstLineChars="0" w:firstLine="0"/>
        <w:contextualSpacing/>
        <w:jc w:val="right"/>
        <w:rPr>
          <w:rFonts w:ascii="黑体" w:eastAsia="黑体" w:hAnsi="黑体"/>
          <w:sz w:val="28"/>
          <w:szCs w:val="28"/>
        </w:rPr>
      </w:pPr>
      <w:r w:rsidRPr="001B5324">
        <w:rPr>
          <w:rFonts w:ascii="黑体" w:eastAsia="黑体" w:hAnsi="黑体"/>
          <w:sz w:val="28"/>
          <w:szCs w:val="28"/>
        </w:rPr>
        <w:t xml:space="preserve">LB/T </w:t>
      </w:r>
      <w:r w:rsidR="007A5369">
        <w:rPr>
          <w:rFonts w:ascii="黑体" w:eastAsia="黑体" w:hAnsi="黑体" w:hint="eastAsia"/>
          <w:sz w:val="28"/>
          <w:szCs w:val="28"/>
        </w:rPr>
        <w:t>366</w:t>
      </w:r>
      <w:r w:rsidR="000B57C9" w:rsidRPr="001B5324">
        <w:rPr>
          <w:rFonts w:ascii="黑体" w:eastAsia="黑体" w:hAnsi="黑体" w:cs="黑体" w:hint="eastAsia"/>
          <w:sz w:val="28"/>
          <w:szCs w:val="28"/>
        </w:rPr>
        <w:t>-</w:t>
      </w:r>
      <w:r w:rsidRPr="001B5324">
        <w:rPr>
          <w:rFonts w:ascii="黑体" w:eastAsia="黑体" w:hAnsi="黑体"/>
          <w:sz w:val="28"/>
          <w:szCs w:val="28"/>
        </w:rPr>
        <w:t>20</w:t>
      </w:r>
      <w:r w:rsidR="00E53638" w:rsidRPr="001B5324">
        <w:rPr>
          <w:rFonts w:ascii="黑体" w:eastAsia="黑体" w:hAnsi="黑体" w:hint="eastAsia"/>
          <w:sz w:val="28"/>
          <w:szCs w:val="28"/>
        </w:rPr>
        <w:t>26</w:t>
      </w:r>
    </w:p>
    <w:p w:rsidR="00EA0B44" w:rsidRDefault="00731755">
      <w:pPr>
        <w:pStyle w:val="12"/>
        <w:spacing w:before="156" w:after="156" w:line="400" w:lineRule="atLeast"/>
        <w:ind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A504814" wp14:editId="64E9DFD6">
                <wp:simplePos x="0" y="0"/>
                <wp:positionH relativeFrom="column">
                  <wp:posOffset>160020</wp:posOffset>
                </wp:positionH>
                <wp:positionV relativeFrom="paragraph">
                  <wp:posOffset>76200</wp:posOffset>
                </wp:positionV>
                <wp:extent cx="5812790" cy="0"/>
                <wp:effectExtent l="0" t="4445" r="0" b="5080"/>
                <wp:wrapNone/>
                <wp:docPr id="1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79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C01A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" o:spid="_x0000_s1026" type="#_x0000_t32" style="position:absolute;left:0;text-align:left;margin-left:12.6pt;margin-top:6pt;width:457.7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"/>
            </w:pict>
          </mc:Fallback>
        </mc:AlternateContent>
      </w: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Pr="000B57C9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731755" w:rsidP="00E53638">
      <w:pPr>
        <w:pStyle w:val="12"/>
        <w:adjustRightInd w:val="0"/>
        <w:snapToGrid w:val="0"/>
        <w:spacing w:before="156" w:after="156"/>
        <w:ind w:left="0" w:firstLineChars="0" w:firstLine="0"/>
        <w:jc w:val="center"/>
        <w:rPr>
          <w:rFonts w:eastAsia="黑体"/>
          <w:spacing w:val="-2"/>
          <w:sz w:val="52"/>
          <w:szCs w:val="52"/>
        </w:rPr>
      </w:pPr>
      <w:r>
        <w:rPr>
          <w:rFonts w:eastAsia="黑体" w:hint="eastAsia"/>
          <w:spacing w:val="-2"/>
          <w:sz w:val="52"/>
          <w:szCs w:val="52"/>
        </w:rPr>
        <w:t>西南地区</w:t>
      </w:r>
    </w:p>
    <w:p w:rsidR="00EA0B44" w:rsidRDefault="00731755" w:rsidP="00E53638">
      <w:pPr>
        <w:pStyle w:val="12"/>
        <w:adjustRightInd w:val="0"/>
        <w:snapToGrid w:val="0"/>
        <w:spacing w:before="156" w:after="156"/>
        <w:ind w:left="0" w:firstLineChars="0" w:firstLine="0"/>
        <w:jc w:val="center"/>
        <w:rPr>
          <w:rFonts w:eastAsia="黑体"/>
          <w:spacing w:val="-12"/>
          <w:sz w:val="52"/>
          <w:szCs w:val="52"/>
        </w:rPr>
      </w:pPr>
      <w:r>
        <w:rPr>
          <w:rFonts w:eastAsia="黑体"/>
          <w:spacing w:val="-12"/>
          <w:sz w:val="52"/>
          <w:szCs w:val="52"/>
        </w:rPr>
        <w:t>绿色食品</w:t>
      </w:r>
      <w:r>
        <w:rPr>
          <w:rFonts w:eastAsia="黑体" w:hint="eastAsia"/>
          <w:spacing w:val="-12"/>
          <w:sz w:val="52"/>
          <w:szCs w:val="52"/>
        </w:rPr>
        <w:t>滇黄精</w:t>
      </w:r>
      <w:r>
        <w:rPr>
          <w:rFonts w:eastAsia="黑体"/>
          <w:spacing w:val="-12"/>
          <w:sz w:val="52"/>
          <w:szCs w:val="52"/>
        </w:rPr>
        <w:t>生产操作规程</w:t>
      </w:r>
    </w:p>
    <w:p w:rsidR="00EA0B44" w:rsidRDefault="00EA0B44">
      <w:pPr>
        <w:pStyle w:val="12"/>
        <w:spacing w:before="156" w:after="156"/>
        <w:ind w:firstLineChars="0" w:firstLine="0"/>
        <w:contextualSpacing/>
        <w:jc w:val="center"/>
        <w:rPr>
          <w:rFonts w:eastAsia="黑体"/>
          <w:spacing w:val="-12"/>
          <w:sz w:val="52"/>
          <w:szCs w:val="52"/>
        </w:rPr>
      </w:pPr>
    </w:p>
    <w:p w:rsidR="00EA0B44" w:rsidRPr="001B532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53638" w:rsidRDefault="00E53638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53638" w:rsidRDefault="00E53638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EA0B44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EA0B44" w:rsidRDefault="007A5369">
      <w:pPr>
        <w:pStyle w:val="12"/>
        <w:spacing w:before="156" w:after="156" w:line="400" w:lineRule="atLeast"/>
        <w:ind w:firstLineChars="0" w:firstLine="0"/>
        <w:contextualSpacing/>
        <w:jc w:val="left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</w:t>
      </w:r>
      <w:bookmarkStart w:id="1" w:name="_GoBack"/>
      <w:bookmarkEnd w:id="1"/>
      <w:r>
        <w:rPr>
          <w:b/>
          <w:sz w:val="28"/>
          <w:szCs w:val="28"/>
        </w:rPr>
        <w:t xml:space="preserve">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EA0B44" w:rsidRDefault="00731755">
      <w:pPr>
        <w:pStyle w:val="12"/>
        <w:spacing w:before="156" w:after="156" w:line="400" w:lineRule="atLeast"/>
        <w:ind w:firstLineChars="0" w:firstLine="0"/>
        <w:contextualSpacing/>
        <w:jc w:val="left"/>
        <w:rPr>
          <w:rFonts w:eastAsia="黑体"/>
          <w:sz w:val="24"/>
          <w:szCs w:val="24"/>
        </w:rPr>
      </w:pPr>
      <w:r>
        <w:rPr>
          <w:rFonts w:eastAsia="黑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3CF3E6" wp14:editId="6C65B29E">
                <wp:simplePos x="0" y="0"/>
                <wp:positionH relativeFrom="column">
                  <wp:posOffset>205740</wp:posOffset>
                </wp:positionH>
                <wp:positionV relativeFrom="paragraph">
                  <wp:posOffset>114300</wp:posOffset>
                </wp:positionV>
                <wp:extent cx="4853940" cy="15240"/>
                <wp:effectExtent l="0" t="4445" r="3810" b="8890"/>
                <wp:wrapNone/>
                <wp:docPr id="16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5E24D7" id="自选图形 2" o:spid="_x0000_s1026" type="#_x0000_t32" style="position:absolute;left:0;text-align:left;margin-left:16.2pt;margin-top:9pt;width:382.2pt;height:1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"/>
            </w:pict>
          </mc:Fallback>
        </mc:AlternateContent>
      </w:r>
    </w:p>
    <w:p w:rsidR="00EA0B44" w:rsidRDefault="00731755">
      <w:pPr>
        <w:pStyle w:val="12"/>
        <w:spacing w:before="156" w:after="156" w:line="400" w:lineRule="atLeast"/>
        <w:ind w:firstLineChars="0" w:firstLine="0"/>
        <w:contextualSpacing/>
        <w:jc w:val="center"/>
        <w:rPr>
          <w:rFonts w:eastAsia="黑体"/>
          <w:sz w:val="28"/>
          <w:szCs w:val="28"/>
        </w:rPr>
      </w:pPr>
      <w:r>
        <w:rPr>
          <w:rFonts w:eastAsia="华文中宋"/>
          <w:spacing w:val="71"/>
          <w:kern w:val="0"/>
          <w:sz w:val="32"/>
          <w:szCs w:val="32"/>
          <w:fitText w:val="4480" w:id="1145320342"/>
        </w:rPr>
        <w:t>中国绿色食品发展中</w:t>
      </w:r>
      <w:r>
        <w:rPr>
          <w:rFonts w:eastAsia="华文中宋"/>
          <w:spacing w:val="1"/>
          <w:kern w:val="0"/>
          <w:sz w:val="32"/>
          <w:szCs w:val="32"/>
          <w:fitText w:val="4480" w:id="1145320342"/>
        </w:rPr>
        <w:t>心</w:t>
      </w:r>
      <w:r>
        <w:rPr>
          <w:rFonts w:eastAsia="华文中宋"/>
          <w:kern w:val="0"/>
          <w:sz w:val="32"/>
          <w:szCs w:val="32"/>
        </w:rPr>
        <w:t xml:space="preserve">  </w:t>
      </w:r>
      <w:r>
        <w:rPr>
          <w:rFonts w:eastAsia="黑体"/>
          <w:sz w:val="28"/>
          <w:szCs w:val="28"/>
        </w:rPr>
        <w:t>发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布</w:t>
      </w:r>
    </w:p>
    <w:bookmarkEnd w:id="0"/>
    <w:p w:rsidR="00EA0B44" w:rsidRDefault="00731755" w:rsidP="001B5324">
      <w:pPr>
        <w:pStyle w:val="a4"/>
        <w:numPr>
          <w:ilvl w:val="0"/>
          <w:numId w:val="0"/>
        </w:numPr>
        <w:adjustRightInd w:val="0"/>
        <w:snapToGrid w:val="0"/>
        <w:spacing w:beforeLines="200" w:before="624" w:after="312"/>
        <w:jc w:val="center"/>
        <w:rPr>
          <w:rFonts w:ascii="Times New Roman"/>
          <w:sz w:val="32"/>
        </w:rPr>
      </w:pPr>
      <w:r>
        <w:rPr>
          <w:rFonts w:ascii="Times New Roman" w:hint="eastAsia"/>
          <w:sz w:val="32"/>
        </w:rPr>
        <w:lastRenderedPageBreak/>
        <w:t>前</w:t>
      </w:r>
      <w:r w:rsidR="001B5324">
        <w:rPr>
          <w:rFonts w:ascii="Times New Roman" w:hint="eastAsia"/>
          <w:sz w:val="32"/>
        </w:rPr>
        <w:t xml:space="preserve">  </w:t>
      </w:r>
      <w:r>
        <w:rPr>
          <w:rFonts w:ascii="Times New Roman" w:hint="eastAsia"/>
          <w:sz w:val="32"/>
        </w:rPr>
        <w:t>言</w:t>
      </w:r>
    </w:p>
    <w:p w:rsidR="00EA0B44" w:rsidRDefault="00731755">
      <w:pPr>
        <w:autoSpaceDE w:val="0"/>
        <w:autoSpaceDN w:val="0"/>
        <w:adjustRightInd w:val="0"/>
        <w:spacing w:line="360" w:lineRule="auto"/>
        <w:ind w:leftChars="455" w:left="95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lang w:val="zh-CN"/>
        </w:rPr>
        <w:t>本</w:t>
      </w:r>
      <w:r w:rsidR="00D6127F">
        <w:rPr>
          <w:rFonts w:ascii="宋体" w:hAnsi="宋体" w:cs="宋体" w:hint="eastAsia"/>
          <w:kern w:val="0"/>
          <w:szCs w:val="21"/>
          <w:lang w:val="zh-CN"/>
        </w:rPr>
        <w:t>文件</w:t>
      </w:r>
      <w:r>
        <w:rPr>
          <w:rFonts w:ascii="宋体" w:hAnsi="宋体" w:cs="宋体" w:hint="eastAsia"/>
          <w:kern w:val="0"/>
          <w:szCs w:val="21"/>
          <w:lang w:val="zh-CN"/>
        </w:rPr>
        <w:t>由中国绿色食品发展</w:t>
      </w:r>
      <w:r w:rsidR="00D6127F">
        <w:rPr>
          <w:rFonts w:ascii="宋体" w:hAnsi="宋体" w:cs="宋体" w:hint="eastAsia"/>
        </w:rPr>
        <w:t>中心设计、</w:t>
      </w:r>
      <w:r w:rsidR="00D6127F">
        <w:rPr>
          <w:rFonts w:ascii="宋体" w:hAnsi="宋体" w:cs="宋体"/>
        </w:rPr>
        <w:t>审核</w:t>
      </w:r>
      <w:r w:rsidR="00D6127F">
        <w:rPr>
          <w:rFonts w:ascii="宋体" w:hAnsi="宋体" w:cs="宋体" w:hint="eastAsia"/>
        </w:rPr>
        <w:t>并归口</w:t>
      </w:r>
      <w:r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EA0B44" w:rsidRDefault="00731755">
      <w:pPr>
        <w:autoSpaceDE w:val="0"/>
        <w:autoSpaceDN w:val="0"/>
        <w:adjustRightInd w:val="0"/>
        <w:spacing w:line="360" w:lineRule="auto"/>
        <w:ind w:left="538" w:firstLine="412"/>
        <w:rPr>
          <w:rFonts w:ascii="宋体" w:hAnsi="宋体" w:cs="宋体"/>
          <w:spacing w:val="-4"/>
          <w:kern w:val="0"/>
          <w:szCs w:val="21"/>
          <w:lang w:val="zh-CN"/>
        </w:rPr>
      </w:pPr>
      <w:r>
        <w:rPr>
          <w:rFonts w:ascii="宋体" w:hAnsi="宋体" w:cs="宋体" w:hint="eastAsia"/>
          <w:spacing w:val="-4"/>
          <w:kern w:val="0"/>
          <w:szCs w:val="21"/>
          <w:lang w:val="zh-CN"/>
        </w:rPr>
        <w:t>本</w:t>
      </w:r>
      <w:r w:rsidR="00D6127F">
        <w:rPr>
          <w:rFonts w:ascii="宋体" w:hAnsi="宋体" w:cs="宋体" w:hint="eastAsia"/>
          <w:spacing w:val="-4"/>
          <w:kern w:val="0"/>
          <w:szCs w:val="21"/>
          <w:lang w:val="zh-CN"/>
        </w:rPr>
        <w:t>文件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起草单位：</w:t>
      </w:r>
      <w:r>
        <w:rPr>
          <w:rFonts w:ascii="宋体" w:hAnsi="宋体" w:cs="宋体" w:hint="eastAsia"/>
          <w:kern w:val="0"/>
          <w:szCs w:val="21"/>
          <w:lang w:val="zh-CN"/>
        </w:rPr>
        <w:t>四川省绿色食品发展中心、</w:t>
      </w:r>
      <w:r w:rsidR="00E53638">
        <w:rPr>
          <w:rFonts w:ascii="宋体" w:hAnsi="宋体" w:cs="宋体" w:hint="eastAsia"/>
          <w:kern w:val="0"/>
          <w:szCs w:val="21"/>
          <w:lang w:val="zh-CN"/>
        </w:rPr>
        <w:t>中国绿色食品</w:t>
      </w:r>
      <w:r w:rsidR="00E53638">
        <w:rPr>
          <w:rFonts w:ascii="宋体" w:hAnsi="宋体" w:cs="宋体"/>
          <w:kern w:val="0"/>
          <w:szCs w:val="21"/>
          <w:lang w:val="zh-CN"/>
        </w:rPr>
        <w:t>发展中心、</w:t>
      </w:r>
      <w:r>
        <w:rPr>
          <w:rFonts w:ascii="宋体" w:hAnsi="宋体" w:cs="宋体" w:hint="eastAsia"/>
          <w:kern w:val="0"/>
          <w:szCs w:val="21"/>
          <w:lang w:val="zh-CN"/>
        </w:rPr>
        <w:t>贵州省绿色食品发展中心、</w:t>
      </w:r>
      <w:r>
        <w:rPr>
          <w:rFonts w:ascii="宋体" w:hAnsi="宋体" w:cs="宋体" w:hint="eastAsia"/>
          <w:spacing w:val="-4"/>
          <w:kern w:val="0"/>
          <w:szCs w:val="21"/>
        </w:rPr>
        <w:t>云南省绿色食品发展中心、贵州同德药业股份有限公司、松桃县农业农村局</w:t>
      </w:r>
      <w:r w:rsidR="00D6127F">
        <w:rPr>
          <w:rFonts w:ascii="宋体" w:hAnsi="宋体" w:cs="宋体" w:hint="eastAsia"/>
          <w:spacing w:val="-4"/>
          <w:kern w:val="0"/>
          <w:szCs w:val="21"/>
        </w:rPr>
        <w:t>。</w:t>
      </w:r>
    </w:p>
    <w:p w:rsidR="00EA0B44" w:rsidRDefault="00731755">
      <w:pPr>
        <w:autoSpaceDE w:val="0"/>
        <w:autoSpaceDN w:val="0"/>
        <w:adjustRightInd w:val="0"/>
        <w:spacing w:before="7" w:line="360" w:lineRule="auto"/>
        <w:ind w:left="538" w:firstLine="420"/>
        <w:rPr>
          <w:rFonts w:ascii="宋体" w:hAnsi="宋体" w:cs="宋体"/>
          <w:spacing w:val="-4"/>
          <w:kern w:val="0"/>
          <w:szCs w:val="21"/>
          <w:lang w:val="zh-CN"/>
        </w:rPr>
      </w:pPr>
      <w:r>
        <w:rPr>
          <w:rFonts w:ascii="宋体" w:hAnsi="宋体" w:cs="宋体" w:hint="eastAsia"/>
          <w:spacing w:val="-4"/>
          <w:kern w:val="0"/>
          <w:szCs w:val="21"/>
          <w:lang w:val="zh-CN"/>
        </w:rPr>
        <w:t>本</w:t>
      </w:r>
      <w:r w:rsidR="00D6127F">
        <w:rPr>
          <w:rFonts w:ascii="宋体" w:hAnsi="宋体" w:cs="宋体" w:hint="eastAsia"/>
          <w:spacing w:val="-4"/>
          <w:kern w:val="0"/>
          <w:szCs w:val="21"/>
          <w:lang w:val="zh-CN"/>
        </w:rPr>
        <w:t>文件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主要起草人：</w:t>
      </w:r>
      <w:r w:rsidR="003E3231">
        <w:rPr>
          <w:rFonts w:ascii="宋体" w:hAnsi="宋体" w:cs="宋体" w:hint="eastAsia"/>
          <w:spacing w:val="-4"/>
          <w:kern w:val="0"/>
          <w:szCs w:val="21"/>
        </w:rPr>
        <w:t>张志华</w:t>
      </w:r>
      <w:r w:rsidR="003E3231">
        <w:rPr>
          <w:rFonts w:ascii="宋体" w:hAnsi="宋体" w:cs="宋体"/>
          <w:spacing w:val="-4"/>
          <w:kern w:val="0"/>
          <w:szCs w:val="21"/>
        </w:rPr>
        <w:t>、</w:t>
      </w:r>
      <w:r>
        <w:rPr>
          <w:rFonts w:ascii="宋体" w:hAnsi="宋体" w:cs="宋体" w:hint="eastAsia"/>
          <w:spacing w:val="-4"/>
          <w:kern w:val="0"/>
          <w:szCs w:val="21"/>
        </w:rPr>
        <w:t>刘贤文、孟芳、汪湖、张琳、黄欣娅、胡云芝、</w:t>
      </w:r>
      <w:r w:rsidR="00BF6E3E">
        <w:rPr>
          <w:rFonts w:ascii="宋体" w:hAnsi="宋体" w:cs="宋体" w:hint="eastAsia"/>
          <w:spacing w:val="-4"/>
          <w:kern w:val="0"/>
          <w:szCs w:val="21"/>
        </w:rPr>
        <w:t>宋晓</w:t>
      </w:r>
      <w:r w:rsidR="00BF6E3E">
        <w:rPr>
          <w:rFonts w:ascii="宋体" w:hAnsi="宋体" w:cs="宋体"/>
          <w:spacing w:val="-4"/>
          <w:kern w:val="0"/>
          <w:szCs w:val="21"/>
        </w:rPr>
        <w:t>、</w:t>
      </w:r>
      <w:r>
        <w:rPr>
          <w:rFonts w:ascii="宋体" w:hAnsi="宋体" w:cs="宋体" w:hint="eastAsia"/>
          <w:spacing w:val="-4"/>
          <w:kern w:val="0"/>
          <w:szCs w:val="21"/>
        </w:rPr>
        <w:t>杨肖艳、陈曦、李丽菊、赵君、龙志旺</w:t>
      </w:r>
      <w:r w:rsidR="00D6127F">
        <w:rPr>
          <w:rFonts w:ascii="宋体" w:hAnsi="宋体" w:cs="宋体" w:hint="eastAsia"/>
          <w:spacing w:val="-4"/>
          <w:kern w:val="0"/>
          <w:szCs w:val="21"/>
        </w:rPr>
        <w:t>。</w:t>
      </w:r>
    </w:p>
    <w:p w:rsidR="00EA0B44" w:rsidRDefault="00EA0B44">
      <w:pPr>
        <w:pStyle w:val="afff2"/>
        <w:spacing w:line="360" w:lineRule="auto"/>
        <w:ind w:firstLine="404"/>
        <w:rPr>
          <w:rFonts w:ascii="Times New Roman" w:eastAsia="宋体" w:hAnsi="Times New Roman" w:cs="Times New Roman"/>
          <w:spacing w:val="-4"/>
          <w:kern w:val="0"/>
          <w:szCs w:val="21"/>
          <w:lang w:val="zh-CN"/>
        </w:rPr>
      </w:pPr>
    </w:p>
    <w:p w:rsidR="00EA0B44" w:rsidRDefault="00EA0B44">
      <w:pPr>
        <w:pStyle w:val="afff2"/>
        <w:ind w:firstLine="404"/>
        <w:rPr>
          <w:rFonts w:ascii="Times New Roman" w:eastAsia="宋体" w:hAnsi="Times New Roman" w:cs="Times New Roman"/>
          <w:spacing w:val="-4"/>
          <w:kern w:val="0"/>
          <w:szCs w:val="21"/>
          <w:lang w:val="zh-CN"/>
        </w:rPr>
        <w:sectPr w:rsidR="00EA0B44" w:rsidSect="001B53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40" w:right="1800" w:bottom="1440" w:left="1800" w:header="1418" w:footer="1134" w:gutter="0"/>
          <w:pgNumType w:fmt="upperRoman" w:start="1"/>
          <w:cols w:space="720"/>
          <w:formProt w:val="0"/>
          <w:titlePg/>
          <w:docGrid w:type="lines" w:linePitch="312"/>
        </w:sectPr>
      </w:pPr>
    </w:p>
    <w:p w:rsidR="00EA0B44" w:rsidRPr="001B5324" w:rsidRDefault="00731755" w:rsidP="001B5324">
      <w:pPr>
        <w:autoSpaceDE w:val="0"/>
        <w:autoSpaceDN w:val="0"/>
        <w:adjustRightInd w:val="0"/>
        <w:snapToGrid w:val="0"/>
        <w:spacing w:beforeLines="100" w:before="312" w:afterLines="100" w:after="312" w:line="360" w:lineRule="auto"/>
        <w:jc w:val="center"/>
        <w:rPr>
          <w:rFonts w:ascii="黑体" w:eastAsia="黑体" w:hAnsi="黑体"/>
          <w:sz w:val="32"/>
        </w:rPr>
      </w:pPr>
      <w:bookmarkStart w:id="2" w:name="_Toc493513223"/>
      <w:bookmarkStart w:id="3" w:name="_Toc493513102"/>
      <w:bookmarkStart w:id="4" w:name="_Toc493511136"/>
      <w:bookmarkStart w:id="5" w:name="_Toc493528141"/>
      <w:bookmarkStart w:id="6" w:name="_Toc493511997"/>
      <w:r w:rsidRPr="001B5324">
        <w:rPr>
          <w:rFonts w:ascii="黑体" w:eastAsia="黑体" w:hAnsi="黑体" w:hint="eastAsia"/>
          <w:sz w:val="32"/>
        </w:rPr>
        <w:lastRenderedPageBreak/>
        <w:t>西南地区</w:t>
      </w:r>
      <w:r w:rsidR="001B5324" w:rsidRPr="001B5324">
        <w:rPr>
          <w:rFonts w:ascii="黑体" w:eastAsia="黑体" w:hAnsi="黑体"/>
          <w:sz w:val="32"/>
        </w:rPr>
        <w:t xml:space="preserve">  </w:t>
      </w:r>
      <w:r w:rsidRPr="001B5324">
        <w:rPr>
          <w:rFonts w:ascii="黑体" w:eastAsia="黑体" w:hAnsi="黑体"/>
          <w:sz w:val="32"/>
        </w:rPr>
        <w:t>绿色食品</w:t>
      </w:r>
      <w:r w:rsidRPr="001B5324">
        <w:rPr>
          <w:rFonts w:ascii="黑体" w:eastAsia="黑体" w:hAnsi="黑体" w:hint="eastAsia"/>
          <w:sz w:val="32"/>
        </w:rPr>
        <w:t>滇黄精</w:t>
      </w:r>
      <w:r w:rsidRPr="001B5324">
        <w:rPr>
          <w:rFonts w:ascii="黑体" w:eastAsia="黑体" w:hAnsi="黑体"/>
          <w:sz w:val="32"/>
        </w:rPr>
        <w:t>生产操作规程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1 范围</w:t>
      </w:r>
      <w:bookmarkEnd w:id="2"/>
      <w:bookmarkEnd w:id="3"/>
      <w:bookmarkEnd w:id="4"/>
      <w:bookmarkEnd w:id="5"/>
      <w:bookmarkEnd w:id="6"/>
    </w:p>
    <w:p w:rsidR="00EA0B44" w:rsidRDefault="00731755" w:rsidP="00E53638">
      <w:pPr>
        <w:autoSpaceDE w:val="0"/>
        <w:autoSpaceDN w:val="0"/>
        <w:adjustRightInd w:val="0"/>
        <w:snapToGrid w:val="0"/>
        <w:spacing w:line="360" w:lineRule="auto"/>
        <w:ind w:firstLine="412"/>
        <w:rPr>
          <w:rFonts w:ascii="宋体" w:hAnsi="宋体" w:cs="宋体"/>
          <w:color w:val="FF0000"/>
          <w:spacing w:val="-4"/>
          <w:kern w:val="0"/>
          <w:szCs w:val="21"/>
        </w:rPr>
      </w:pPr>
      <w:r>
        <w:rPr>
          <w:rFonts w:ascii="宋体" w:hAnsi="宋体" w:cs="宋体" w:hint="eastAsia"/>
          <w:spacing w:val="-4"/>
          <w:kern w:val="0"/>
          <w:szCs w:val="21"/>
          <w:lang w:val="zh-CN"/>
        </w:rPr>
        <w:t>本</w:t>
      </w:r>
      <w:r w:rsidR="00D6127F">
        <w:rPr>
          <w:rFonts w:ascii="宋体" w:hAnsi="宋体" w:cs="宋体" w:hint="eastAsia"/>
          <w:spacing w:val="-4"/>
          <w:kern w:val="0"/>
          <w:szCs w:val="21"/>
          <w:lang w:val="zh-CN"/>
        </w:rPr>
        <w:t>文件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规定了</w:t>
      </w:r>
      <w:r>
        <w:rPr>
          <w:rFonts w:ascii="宋体" w:hAnsi="宋体" w:cs="宋体" w:hint="eastAsia"/>
          <w:spacing w:val="-4"/>
          <w:kern w:val="0"/>
          <w:szCs w:val="21"/>
        </w:rPr>
        <w:t>西南地区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绿色食品</w:t>
      </w:r>
      <w:r>
        <w:rPr>
          <w:rFonts w:ascii="宋体" w:hAnsi="宋体" w:cs="宋体" w:hint="eastAsia"/>
          <w:spacing w:val="-4"/>
          <w:kern w:val="0"/>
          <w:szCs w:val="21"/>
        </w:rPr>
        <w:t>滇黄精生产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的产地环境、品种选择、</w:t>
      </w:r>
      <w:r>
        <w:rPr>
          <w:rFonts w:ascii="宋体" w:hAnsi="宋体" w:cs="宋体" w:hint="eastAsia"/>
          <w:spacing w:val="-4"/>
          <w:kern w:val="0"/>
          <w:szCs w:val="21"/>
        </w:rPr>
        <w:t>种苗选择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、整地移栽、田间管理、</w:t>
      </w:r>
      <w:r>
        <w:rPr>
          <w:rFonts w:ascii="宋体" w:hAnsi="宋体" w:cs="宋体" w:hint="eastAsia"/>
          <w:spacing w:val="-4"/>
          <w:kern w:val="0"/>
          <w:szCs w:val="21"/>
        </w:rPr>
        <w:t>病虫害防治、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采收、包装、</w:t>
      </w:r>
      <w:r w:rsidR="00D6127F">
        <w:rPr>
          <w:rFonts w:ascii="宋体" w:hAnsi="宋体" w:cs="宋体" w:hint="eastAsia"/>
          <w:kern w:val="0"/>
          <w:szCs w:val="21"/>
        </w:rPr>
        <w:t>储</w:t>
      </w:r>
      <w:r>
        <w:rPr>
          <w:rFonts w:ascii="宋体" w:hAnsi="宋体" w:cs="宋体" w:hint="eastAsia"/>
          <w:kern w:val="0"/>
          <w:szCs w:val="21"/>
          <w:lang w:val="zh-CN"/>
        </w:rPr>
        <w:t>藏</w:t>
      </w:r>
      <w:r>
        <w:rPr>
          <w:rFonts w:ascii="宋体" w:hAnsi="宋体" w:cs="宋体" w:hint="eastAsia"/>
          <w:kern w:val="0"/>
          <w:szCs w:val="21"/>
        </w:rPr>
        <w:t>和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运输、生产废弃物处理</w:t>
      </w:r>
      <w:r>
        <w:rPr>
          <w:rFonts w:ascii="宋体" w:hAnsi="宋体" w:cs="宋体" w:hint="eastAsia"/>
          <w:spacing w:val="-4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  <w:lang w:val="zh-CN"/>
        </w:rPr>
        <w:t>生产档案管理</w:t>
      </w:r>
      <w:r>
        <w:rPr>
          <w:rFonts w:ascii="宋体" w:hAnsi="宋体" w:cs="宋体" w:hint="eastAsia"/>
          <w:spacing w:val="-4"/>
          <w:kern w:val="0"/>
          <w:szCs w:val="21"/>
          <w:lang w:val="zh-CN"/>
        </w:rPr>
        <w:t>。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eastAsia="宋体" w:hAnsi="宋体" w:cs="宋体" w:hint="eastAsia"/>
          <w:szCs w:val="21"/>
          <w:lang w:val="zh-CN"/>
        </w:rPr>
        <w:t>本</w:t>
      </w:r>
      <w:r w:rsidR="00D6127F">
        <w:rPr>
          <w:rFonts w:eastAsia="宋体" w:hAnsi="宋体" w:cs="宋体" w:hint="eastAsia"/>
          <w:szCs w:val="21"/>
          <w:lang w:val="zh-CN"/>
        </w:rPr>
        <w:t>文件</w:t>
      </w:r>
      <w:r>
        <w:rPr>
          <w:rFonts w:eastAsia="宋体" w:hAnsi="宋体" w:cs="宋体" w:hint="eastAsia"/>
          <w:szCs w:val="21"/>
          <w:lang w:val="zh-CN"/>
        </w:rPr>
        <w:t>适用于</w:t>
      </w:r>
      <w:r>
        <w:rPr>
          <w:kern w:val="0"/>
        </w:rPr>
        <w:t>云南、贵州、四川</w:t>
      </w:r>
      <w:r>
        <w:rPr>
          <w:rFonts w:eastAsia="宋体" w:hAnsi="宋体" w:cs="宋体" w:hint="eastAsia"/>
          <w:spacing w:val="-4"/>
          <w:szCs w:val="21"/>
          <w:lang w:val="zh-CN"/>
        </w:rPr>
        <w:t>等地的</w:t>
      </w:r>
      <w:r>
        <w:rPr>
          <w:rFonts w:eastAsia="宋体" w:hAnsi="宋体" w:cs="宋体" w:hint="eastAsia"/>
          <w:szCs w:val="21"/>
          <w:lang w:val="zh-CN"/>
        </w:rPr>
        <w:t>绿色食品</w:t>
      </w:r>
      <w:r>
        <w:rPr>
          <w:rFonts w:eastAsia="宋体" w:hAnsi="宋体" w:cs="宋体" w:hint="eastAsia"/>
          <w:szCs w:val="21"/>
        </w:rPr>
        <w:t>滇黄精</w:t>
      </w:r>
      <w:r>
        <w:rPr>
          <w:rFonts w:eastAsia="宋体" w:hAnsi="宋体" w:cs="宋体" w:hint="eastAsia"/>
          <w:szCs w:val="21"/>
          <w:lang w:val="zh-CN"/>
        </w:rPr>
        <w:t>生产。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jc w:val="left"/>
        <w:rPr>
          <w:rFonts w:hAnsi="黑体" w:cs="黑体"/>
        </w:rPr>
      </w:pPr>
      <w:bookmarkStart w:id="7" w:name="_Toc493513103"/>
      <w:bookmarkStart w:id="8" w:name="_Toc493528142"/>
      <w:bookmarkStart w:id="9" w:name="_Toc493513224"/>
      <w:bookmarkStart w:id="10" w:name="_Toc493511137"/>
      <w:bookmarkStart w:id="11" w:name="_Toc493511998"/>
      <w:r>
        <w:rPr>
          <w:rFonts w:hAnsi="黑体" w:cs="黑体" w:hint="eastAsia"/>
        </w:rPr>
        <w:t>2 规范性引用文件</w:t>
      </w:r>
      <w:bookmarkEnd w:id="7"/>
      <w:bookmarkEnd w:id="8"/>
      <w:bookmarkEnd w:id="9"/>
      <w:bookmarkEnd w:id="10"/>
      <w:bookmarkEnd w:id="11"/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  <w:lang w:val="zh-CN"/>
        </w:rPr>
      </w:pPr>
      <w:r>
        <w:rPr>
          <w:rFonts w:eastAsia="宋体" w:hAnsi="宋体" w:cs="宋体"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NY/T 391  绿色食品</w:t>
      </w:r>
      <w:r w:rsidR="00D6127F">
        <w:rPr>
          <w:rFonts w:ascii="宋体" w:hAnsi="宋体" w:cs="宋体" w:hint="eastAsia"/>
          <w:kern w:val="0"/>
          <w:szCs w:val="21"/>
          <w:lang w:val="zh-CN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产地环境质量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NY/T 393  绿色食品</w:t>
      </w:r>
      <w:r w:rsidR="00D6127F">
        <w:rPr>
          <w:rFonts w:ascii="宋体" w:hAnsi="宋体" w:cs="宋体" w:hint="eastAsia"/>
          <w:kern w:val="0"/>
          <w:szCs w:val="21"/>
          <w:lang w:val="zh-CN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农药使用准则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NY/T 394  绿色食品</w:t>
      </w:r>
      <w:r w:rsidR="00D6127F">
        <w:rPr>
          <w:rFonts w:ascii="宋体" w:hAnsi="宋体" w:cs="宋体" w:hint="eastAsia"/>
          <w:kern w:val="0"/>
          <w:szCs w:val="21"/>
          <w:lang w:val="zh-CN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肥料使用准则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NY/T 658  绿色食品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包装通用准则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 xml:space="preserve">NY/T 1056 绿色食品 </w:t>
      </w:r>
      <w:r>
        <w:rPr>
          <w:rFonts w:ascii="宋体" w:hAnsi="宋体" w:cs="宋体" w:hint="eastAsia"/>
          <w:kern w:val="0"/>
          <w:szCs w:val="21"/>
        </w:rPr>
        <w:t xml:space="preserve"> </w:t>
      </w:r>
      <w:r w:rsidR="00D6127F">
        <w:rPr>
          <w:rFonts w:ascii="宋体" w:hAnsi="宋体" w:cs="宋体" w:hint="eastAsia"/>
          <w:kern w:val="0"/>
          <w:szCs w:val="21"/>
          <w:lang w:val="zh-CN"/>
        </w:rPr>
        <w:t>储</w:t>
      </w:r>
      <w:r>
        <w:rPr>
          <w:rFonts w:ascii="宋体" w:hAnsi="宋体" w:cs="宋体" w:hint="eastAsia"/>
          <w:kern w:val="0"/>
          <w:szCs w:val="21"/>
          <w:lang w:val="zh-CN"/>
        </w:rPr>
        <w:t>藏运输准则</w:t>
      </w:r>
    </w:p>
    <w:p w:rsidR="00EA0B44" w:rsidRDefault="00731755" w:rsidP="00E53638">
      <w:pPr>
        <w:tabs>
          <w:tab w:val="left" w:pos="1712"/>
        </w:tabs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NY/T 1507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val="zh-CN"/>
        </w:rPr>
        <w:t>绿色食品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val="zh-CN"/>
        </w:rPr>
        <w:t xml:space="preserve"> 山野菜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bookmarkStart w:id="12" w:name="_Toc493511138"/>
      <w:bookmarkStart w:id="13" w:name="_Toc493513109"/>
      <w:bookmarkStart w:id="14" w:name="_Toc493513230"/>
      <w:bookmarkStart w:id="15" w:name="_Toc493512004"/>
      <w:bookmarkStart w:id="16" w:name="_Toc493528148"/>
      <w:bookmarkEnd w:id="12"/>
      <w:r>
        <w:rPr>
          <w:rFonts w:hAnsi="黑体" w:cs="黑体" w:hint="eastAsia"/>
        </w:rPr>
        <w:t>3 产地环境</w:t>
      </w:r>
      <w:bookmarkEnd w:id="13"/>
      <w:bookmarkEnd w:id="14"/>
      <w:bookmarkEnd w:id="15"/>
      <w:bookmarkEnd w:id="16"/>
    </w:p>
    <w:p w:rsidR="00EA0B44" w:rsidRDefault="00731755" w:rsidP="00E53638">
      <w:pPr>
        <w:autoSpaceDE w:val="0"/>
        <w:autoSpaceDN w:val="0"/>
        <w:adjustRightInd w:val="0"/>
        <w:snapToGrid w:val="0"/>
        <w:spacing w:line="360" w:lineRule="auto"/>
        <w:ind w:firstLine="420"/>
        <w:rPr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产地环境条件应符合</w:t>
      </w:r>
      <w:r>
        <w:rPr>
          <w:rFonts w:ascii="宋体" w:hAnsi="宋体" w:cs="宋体" w:hint="eastAsia"/>
          <w:kern w:val="0"/>
          <w:szCs w:val="21"/>
          <w:lang w:val="zh-CN"/>
        </w:rPr>
        <w:t>NY/T 391</w:t>
      </w:r>
      <w:r>
        <w:rPr>
          <w:rFonts w:ascii="宋体" w:hAnsi="宋体" w:cs="宋体" w:hint="eastAsia"/>
          <w:kern w:val="0"/>
          <w:szCs w:val="21"/>
        </w:rPr>
        <w:t>的规定，选择生态环境良好、远离工矿区和公路、铁路干线，避开污染源，在绿色食品和常规生产区域之间设置有效的缓冲带或物理屏障，以防止绿色食品生产基地受到污染。</w:t>
      </w:r>
      <w:r>
        <w:rPr>
          <w:rFonts w:ascii="宋体" w:hAnsi="宋体" w:cs="宋体" w:hint="eastAsia"/>
        </w:rPr>
        <w:t>海拔800 m～3000 m，</w:t>
      </w:r>
      <w:r>
        <w:rPr>
          <w:rFonts w:ascii="宋体" w:hAnsi="宋体" w:cs="宋体" w:hint="eastAsia"/>
          <w:kern w:val="0"/>
          <w:szCs w:val="21"/>
        </w:rPr>
        <w:t>选用土层深厚、肥沃疏松、排水良好</w:t>
      </w:r>
      <w:r>
        <w:rPr>
          <w:rFonts w:ascii="宋体" w:hAnsi="宋体" w:cs="宋体" w:hint="eastAsia"/>
        </w:rPr>
        <w:t>的壤土或</w:t>
      </w:r>
      <w:r>
        <w:rPr>
          <w:rFonts w:hint="eastAsia"/>
          <w:kern w:val="0"/>
          <w:szCs w:val="21"/>
        </w:rPr>
        <w:t>砂壤土</w:t>
      </w:r>
      <w:r>
        <w:rPr>
          <w:rFonts w:hint="eastAsia"/>
          <w:kern w:val="0"/>
          <w:szCs w:val="21"/>
          <w:lang w:val="en"/>
        </w:rPr>
        <w:t>，土壤</w:t>
      </w:r>
      <w:r>
        <w:rPr>
          <w:rFonts w:hint="eastAsia"/>
          <w:kern w:val="0"/>
          <w:szCs w:val="21"/>
        </w:rPr>
        <w:t>pH</w:t>
      </w:r>
      <w:r>
        <w:rPr>
          <w:rFonts w:hint="eastAsia"/>
          <w:kern w:val="0"/>
          <w:szCs w:val="21"/>
        </w:rPr>
        <w:t>值</w:t>
      </w:r>
      <w:r>
        <w:rPr>
          <w:rFonts w:hint="eastAsia"/>
          <w:kern w:val="0"/>
          <w:szCs w:val="21"/>
        </w:rPr>
        <w:t>5.5</w:t>
      </w:r>
      <w:r>
        <w:rPr>
          <w:rFonts w:hint="eastAsia"/>
          <w:kern w:val="0"/>
          <w:szCs w:val="21"/>
        </w:rPr>
        <w:t>～</w:t>
      </w:r>
      <w:r>
        <w:rPr>
          <w:rFonts w:hint="eastAsia"/>
          <w:kern w:val="0"/>
          <w:szCs w:val="21"/>
        </w:rPr>
        <w:t>7.5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bookmarkStart w:id="17" w:name="_Toc493528149"/>
      <w:bookmarkStart w:id="18" w:name="_Toc493513231"/>
      <w:bookmarkStart w:id="19" w:name="_Toc493513110"/>
      <w:bookmarkStart w:id="20" w:name="_Toc493512005"/>
      <w:r>
        <w:rPr>
          <w:rFonts w:hAnsi="黑体" w:cs="黑体" w:hint="eastAsia"/>
        </w:rPr>
        <w:t>4 品种选择</w:t>
      </w:r>
      <w:bookmarkEnd w:id="17"/>
      <w:bookmarkEnd w:id="18"/>
      <w:bookmarkEnd w:id="19"/>
      <w:bookmarkEnd w:id="20"/>
    </w:p>
    <w:p w:rsidR="00EA0B44" w:rsidRDefault="00731755" w:rsidP="00E53638">
      <w:pPr>
        <w:pStyle w:val="12"/>
        <w:adjustRightInd w:val="0"/>
        <w:snapToGrid w:val="0"/>
        <w:spacing w:beforeLines="0" w:afterLines="0"/>
        <w:ind w:left="0"/>
      </w:pPr>
      <w:r>
        <w:rPr>
          <w:rFonts w:hint="eastAsia"/>
          <w:kern w:val="0"/>
        </w:rPr>
        <w:t>根据</w:t>
      </w:r>
      <w:r>
        <w:rPr>
          <w:kern w:val="0"/>
          <w:lang w:val="zh-CN"/>
        </w:rPr>
        <w:t>当地气候条件、栽培季节和市场需求</w:t>
      </w:r>
      <w:r>
        <w:rPr>
          <w:rFonts w:hint="eastAsia"/>
          <w:kern w:val="0"/>
          <w:lang w:val="zh-CN"/>
        </w:rPr>
        <w:t>，</w:t>
      </w:r>
      <w:r>
        <w:rPr>
          <w:rFonts w:ascii="宋体" w:hAnsi="宋体" w:hint="eastAsia"/>
        </w:rPr>
        <w:t>选择生长势强、抗病性及抗逆性强、商品性好、耐</w:t>
      </w:r>
      <w:r w:rsidR="00D6127F">
        <w:rPr>
          <w:rFonts w:hint="eastAsia"/>
          <w:kern w:val="0"/>
          <w:lang w:val="zh-CN"/>
        </w:rPr>
        <w:t>储</w:t>
      </w:r>
      <w:r>
        <w:rPr>
          <w:kern w:val="0"/>
          <w:lang w:val="zh-CN"/>
        </w:rPr>
        <w:t>运</w:t>
      </w:r>
      <w:r>
        <w:rPr>
          <w:rFonts w:ascii="宋体" w:hAnsi="宋体" w:hint="eastAsia"/>
        </w:rPr>
        <w:t>、优质高产的滇黄精品种。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bookmarkStart w:id="21" w:name="_Toc493513115"/>
      <w:bookmarkStart w:id="22" w:name="_Toc493512008"/>
      <w:bookmarkStart w:id="23" w:name="_Toc493513234"/>
      <w:bookmarkStart w:id="24" w:name="_Toc493528152"/>
      <w:r>
        <w:rPr>
          <w:rFonts w:hAnsi="黑体" w:cs="黑体" w:hint="eastAsia"/>
        </w:rPr>
        <w:t xml:space="preserve">5 </w:t>
      </w:r>
      <w:bookmarkEnd w:id="21"/>
      <w:bookmarkEnd w:id="22"/>
      <w:bookmarkEnd w:id="23"/>
      <w:bookmarkEnd w:id="24"/>
      <w:r>
        <w:rPr>
          <w:rFonts w:hAnsi="黑体" w:cs="黑体" w:hint="eastAsia"/>
        </w:rPr>
        <w:t>种苗选择</w:t>
      </w:r>
    </w:p>
    <w:p w:rsidR="00EA0B44" w:rsidRDefault="00731755" w:rsidP="00E53638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可选用健康无明显病害和严重损伤的块茎苗、实生苗，待块茎≥2 cm、芽头数量≥2个后作为种苗。种苗芽头饱满无霉变、无根腐病斑、无蛀孔、无破损等问题。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6. 整地移栽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6.1 整地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hint="eastAsia"/>
        </w:rPr>
        <w:t>深翻土壤30 cm以上，清除杂草、石块，每亩施腐熟农家肥2000～3000 kg或有机质≥45%的有机肥1000 kg以上，拌匀后细耙整平，坡地作畦宽1.2～1.5 m，畦高20～25 cm，沟宽30～40 cm；平洼地畦高30 cm以上，沟宽30～40 cm，确保排水通畅。多雨区畦沟末端挖50 cm深的集水坑，沟底铺碎石防淤堵；坡地应沿等高线开沟作畦，黏土地畦面中间略凸起呈“龟</w:t>
      </w:r>
      <w:r>
        <w:rPr>
          <w:rFonts w:hint="eastAsia"/>
        </w:rPr>
        <w:lastRenderedPageBreak/>
        <w:t>背形”，沟深适当加深至40 cm以上，加速径流，增强排水能力。优先选择郁闭度0.5～0.7的林地种植，可选择搭建遮光率50～70%的荫棚遮阴种植，或搭配高杆作物间作。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6.2 移栽时间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</w:rPr>
      </w:pPr>
      <w:r>
        <w:rPr>
          <w:rFonts w:hint="eastAsia"/>
        </w:rPr>
        <w:t>西南地区</w:t>
      </w:r>
      <w:r>
        <w:rPr>
          <w:rFonts w:eastAsia="宋体" w:hAnsi="宋体" w:cs="宋体" w:hint="eastAsia"/>
        </w:rPr>
        <w:t>由于气候条件等差异，不同区域移栽时间也各不相同。云贵川大部分地区在冬季、春季雨季结束后，土壤湿润、气温稳定，适宜移栽。不宜在连续暴雨期移栽。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6.3 移栽方法</w:t>
      </w:r>
    </w:p>
    <w:p w:rsidR="00EA0B44" w:rsidRDefault="00731755" w:rsidP="00E53638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砂土开沟/穴深6～8 cm，黏土开沟/穴深5～6 cm,坡地顺等高线开沟防冲刷。种苗芽头向上放置后覆细土轻压，覆土厚度2～3 cm，如土壤为黏土则稍松、如土壤为砂土则压实。根据苗体大小，土壤性状，结合实际，配置不同的种植密度，株行距在20～50 cm×20～50 cm范围，种植密度一般控制在3000～5000 株/亩。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 田间管理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7.1 水分调控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hint="eastAsia"/>
        </w:rPr>
        <w:t>在干旱季保持土壤相对含水量在30%以上，有条件的采用滴灌或喷灌，避免大水漫灌导致地温骤降。雨季清理排水沟，坡地</w:t>
      </w:r>
      <w:r>
        <w:rPr>
          <w:rFonts w:eastAsia="宋体" w:hAnsi="宋体" w:cs="宋体" w:hint="eastAsia"/>
          <w:kern w:val="0"/>
          <w:szCs w:val="21"/>
        </w:rPr>
        <w:t>作中间高、四周低的畦面加速</w:t>
      </w:r>
      <w:r>
        <w:rPr>
          <w:rFonts w:hint="eastAsia"/>
        </w:rPr>
        <w:t>排水，防根茎腐烂。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7.2 施肥策略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ascii="Times New Roman"/>
          <w:szCs w:val="21"/>
        </w:rPr>
        <w:t>使用的肥料</w:t>
      </w:r>
      <w:r>
        <w:rPr>
          <w:rFonts w:asciiTheme="minorEastAsia" w:hAnsiTheme="minorEastAsia"/>
          <w:szCs w:val="21"/>
        </w:rPr>
        <w:t>应符合NY/T 394的规</w:t>
      </w:r>
      <w:r>
        <w:rPr>
          <w:rFonts w:ascii="Times New Roman"/>
          <w:szCs w:val="21"/>
        </w:rPr>
        <w:t>定。生产过程中肥料种类的选取应以</w:t>
      </w:r>
      <w:r>
        <w:rPr>
          <w:rFonts w:ascii="Times New Roman" w:hint="eastAsia"/>
          <w:szCs w:val="21"/>
        </w:rPr>
        <w:t>腐熟</w:t>
      </w:r>
      <w:r>
        <w:rPr>
          <w:rFonts w:ascii="Times New Roman"/>
          <w:szCs w:val="21"/>
        </w:rPr>
        <w:t>农家肥料、有机肥料、微生物肥料为主，化学肥料为辅。无机氮素</w:t>
      </w:r>
      <w:r>
        <w:rPr>
          <w:rFonts w:ascii="Times New Roman" w:hint="eastAsia"/>
          <w:szCs w:val="21"/>
        </w:rPr>
        <w:t>和磷素</w:t>
      </w:r>
      <w:r>
        <w:rPr>
          <w:rFonts w:ascii="Times New Roman"/>
          <w:szCs w:val="21"/>
        </w:rPr>
        <w:t>用量不得高于当季作物需求量的一半。</w:t>
      </w:r>
      <w:r>
        <w:rPr>
          <w:rFonts w:ascii="Times New Roman" w:hint="eastAsia"/>
          <w:szCs w:val="21"/>
        </w:rPr>
        <w:t>结合土壤肥力情况，配方施肥。一般在冬季结合覆土时追施一次冬肥。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7.3 遮荫调控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hint="eastAsia"/>
        </w:rPr>
        <w:t>林下种植可修剪林木控制郁闭度，也可人工搭建黑色遮阳网或套种其他作物遮阴使郁闭度控制在0.5～0.7,确保夏季郁闭度不低于0.7，秋季温度降低后，可适当降低郁闭度至0.5。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7.4 除草与培土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hint="eastAsia"/>
        </w:rPr>
        <w:t>生长前期浅锄3～5 cm，后期人工拔草；结合追肥、除草等情形培土2～3 cm。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7.5 花果管理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</w:pPr>
      <w:r>
        <w:rPr>
          <w:rFonts w:hint="eastAsia"/>
        </w:rPr>
        <w:t>生产中根据需要，可在现蕾初期人工摘除70～80%花蕾，保留基部健壮花穗，一般每株留花序不超过3个；或通过打顶保留8～10 节，限制植株地上部分长势。注意用剪刀平剪花茎基部，避免手掰损伤茎叶，阴天操作减少创口感染。若不慎产生创口，应及时喷洒生物杀菌剂预防感染。弱苗、病株摘除全部花蕾。摘除的花蕾和顶苗可以收集加工利用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 病虫害防治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8.1 防治原则</w:t>
      </w:r>
    </w:p>
    <w:p w:rsidR="00037E5D" w:rsidRDefault="00037E5D" w:rsidP="00E53638">
      <w:pPr>
        <w:pStyle w:val="afff2"/>
        <w:adjustRightInd w:val="0"/>
        <w:snapToGrid w:val="0"/>
        <w:spacing w:line="360" w:lineRule="auto"/>
      </w:pPr>
      <w:r w:rsidRPr="00864E8F">
        <w:rPr>
          <w:rFonts w:hint="eastAsia"/>
        </w:rPr>
        <w:t>按照“预防为主、综合防治”的植保方针，在做好种</w:t>
      </w:r>
      <w:r w:rsidR="003F334A">
        <w:rPr>
          <w:rFonts w:hint="eastAsia"/>
        </w:rPr>
        <w:t>苗</w:t>
      </w:r>
      <w:r w:rsidRPr="00864E8F">
        <w:rPr>
          <w:rFonts w:hint="eastAsia"/>
        </w:rPr>
        <w:t>检疫和病虫害田间监测的基础上，针对</w:t>
      </w:r>
      <w:r>
        <w:rPr>
          <w:rFonts w:hint="eastAsia"/>
        </w:rPr>
        <w:t>滇黄精</w:t>
      </w:r>
      <w:r w:rsidRPr="00864E8F">
        <w:rPr>
          <w:rFonts w:hint="eastAsia"/>
        </w:rPr>
        <w:t>不同生育期主要病虫害发生特点，</w:t>
      </w:r>
      <w:r w:rsidRPr="00943515">
        <w:rPr>
          <w:rFonts w:hAnsi="宋体" w:hint="eastAsia"/>
        </w:rPr>
        <w:t>优先采用农业措施</w:t>
      </w:r>
      <w:r w:rsidRPr="00864E8F">
        <w:rPr>
          <w:rFonts w:hint="eastAsia"/>
        </w:rPr>
        <w:t>、物理防治、生物防治，辅之以科学合理的化学防治的绿色防控技术，实现</w:t>
      </w:r>
      <w:r>
        <w:rPr>
          <w:rFonts w:hint="eastAsia"/>
        </w:rPr>
        <w:t>滇黄精</w:t>
      </w:r>
      <w:r w:rsidRPr="00864E8F">
        <w:rPr>
          <w:rFonts w:hint="eastAsia"/>
        </w:rPr>
        <w:t>病虫害绿色防控和优质安全生产。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8.2 主要病虫害</w:t>
      </w:r>
    </w:p>
    <w:p w:rsidR="00EA0B44" w:rsidRDefault="00731755" w:rsidP="00E53638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主要病害：根腐病</w:t>
      </w:r>
      <w:r>
        <w:rPr>
          <w:rFonts w:hAnsi="宋体" w:cs="宋体" w:hint="eastAsia"/>
          <w:kern w:val="0"/>
          <w:szCs w:val="21"/>
        </w:rPr>
        <w:t>、叶斑病、黑斑病、炭疽病、叶枯病</w:t>
      </w:r>
      <w:r>
        <w:rPr>
          <w:rFonts w:ascii="宋体" w:hAnsi="宋体" w:cs="宋体" w:hint="eastAsia"/>
          <w:kern w:val="0"/>
          <w:szCs w:val="21"/>
        </w:rPr>
        <w:t>等。</w:t>
      </w:r>
    </w:p>
    <w:p w:rsidR="00EA0B44" w:rsidRDefault="00731755" w:rsidP="00E53638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高发虫害：蛴螬、地老虎、蚜虫、</w:t>
      </w:r>
      <w:r>
        <w:rPr>
          <w:rFonts w:ascii="宋体" w:hAnsi="宋体" w:cs="宋体" w:hint="eastAsia"/>
          <w:kern w:val="0"/>
          <w:szCs w:val="21"/>
          <w:lang w:val="zh-CN"/>
        </w:rPr>
        <w:t>粉虱</w:t>
      </w:r>
      <w:r>
        <w:rPr>
          <w:rFonts w:ascii="宋体" w:hAnsi="宋体" w:cs="宋体" w:hint="eastAsia"/>
          <w:kern w:val="0"/>
          <w:szCs w:val="21"/>
        </w:rPr>
        <w:t>等。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8.3 防治措施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8.3.1 农业防治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移栽前做好种茎消毒处理，清洁地块，深翻土壤25～30 cm，暴露越冬虫卵及病原体，降低病虫基数；采用滴灌或小水勤浇，避免积水诱发根腐病。优化田间管理，避免过量施肥，适量增施磷钾肥增强抗病性；合理轮作，忌连作茄科作物。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8.3.2 物理防治</w:t>
      </w:r>
    </w:p>
    <w:p w:rsidR="00EA0B44" w:rsidRDefault="00731755" w:rsidP="00E53638">
      <w:pPr>
        <w:pStyle w:val="afff2"/>
        <w:numPr>
          <w:ilvl w:val="255"/>
          <w:numId w:val="0"/>
        </w:numPr>
        <w:autoSpaceDE/>
        <w:autoSpaceDN/>
        <w:adjustRightInd w:val="0"/>
        <w:snapToGrid w:val="0"/>
        <w:spacing w:line="360" w:lineRule="auto"/>
        <w:ind w:firstLineChars="200" w:firstLine="420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运用灯光诱杀，每30～50亩设置一盏频振式杀虫灯诱杀蛴螬成虫和蛾类。色板诱杀，每亩悬挂15～60张黄板诱杀蚜虫。每亩设置4～8盆糖醋液，可有效诱杀地老虎。可通过畦面铺3 cm厚稻壳或松针，减少雨水溅泥导致传播叶部病害。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8.3.3 生物防治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利用生物农药与植物源农药防治害虫，性诱剂诱杀蛴螬雄性成虫。积极保护和利用天敌或人工释放天敌防治害虫，如每亩释放瓢虫或草蛉200～300头控制蚜虫种群；在粉虱发生初期释放丽蚜小蜂，每亩每次释放5000-10000头，间隔7-10天释放一次，连续2-3次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8.3.4 化学防治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农药使用严格遵循NY/T 393的规定。加强病虫预测预报，找准防治适期，科学用药防治，提倡使用高效、低毒、低残留，与环境相容性好的农药，提倡兼治和不同作用机理农药交替使用，严格执行农药安全间隔期，推广使用新型高效施药器械。主要病虫害化学防治方法见附录A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9 采收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9.1 采收时间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在种植后的3～5年采收为宜。当地上植株枯倒后开始采收，采收期可持续到次年出芽前，一般选择在11月至次年2月。需避开连续阴雨天，在连续晴天作业，或采用机械通风干燥设备辅助干燥。</w:t>
      </w:r>
    </w:p>
    <w:p w:rsidR="00EA0B44" w:rsidRDefault="00731755" w:rsidP="00E53638">
      <w:pPr>
        <w:pStyle w:val="a5"/>
        <w:numPr>
          <w:ilvl w:val="1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9.2 采收方式和采后处理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eastAsia="宋体" w:hAnsi="宋体" w:cs="宋体"/>
          <w:kern w:val="0"/>
          <w:szCs w:val="21"/>
        </w:rPr>
      </w:pPr>
      <w:r>
        <w:rPr>
          <w:rFonts w:eastAsia="宋体" w:hAnsi="宋体" w:cs="宋体" w:hint="eastAsia"/>
          <w:kern w:val="0"/>
          <w:szCs w:val="21"/>
        </w:rPr>
        <w:t>采收时按垄栽方向，依次将滇黄精根茎带土挖出，去掉杂质和泥土，注意避免损伤根茎。按照直径大小对滇黄精进行规格分级，除鲜品滇黄精外，可选择自然晒干或60度以下低温烘干，剔除须根、病疤，含水量低于18%。产品质量应符合NY/T 1507规定。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10 包装</w:t>
      </w:r>
    </w:p>
    <w:p w:rsidR="00EA0B44" w:rsidRDefault="00731755" w:rsidP="00E53638">
      <w:pPr>
        <w:autoSpaceDE w:val="0"/>
        <w:autoSpaceDN w:val="0"/>
        <w:adjustRightInd w:val="0"/>
        <w:snapToGrid w:val="0"/>
        <w:spacing w:line="360" w:lineRule="auto"/>
        <w:ind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包装方式及用具</w:t>
      </w:r>
      <w:r>
        <w:rPr>
          <w:rFonts w:hint="eastAsia"/>
          <w:kern w:val="0"/>
          <w:szCs w:val="21"/>
          <w:lang w:val="zh-CN"/>
        </w:rPr>
        <w:t>应符合</w:t>
      </w:r>
      <w:r>
        <w:rPr>
          <w:rFonts w:hint="eastAsia"/>
          <w:kern w:val="0"/>
          <w:szCs w:val="21"/>
        </w:rPr>
        <w:t>NY/T 658</w:t>
      </w:r>
      <w:r>
        <w:rPr>
          <w:rFonts w:hint="eastAsia"/>
          <w:kern w:val="0"/>
          <w:szCs w:val="21"/>
          <w:lang w:val="zh-CN"/>
        </w:rPr>
        <w:t>的</w:t>
      </w:r>
      <w:r>
        <w:rPr>
          <w:rFonts w:hint="eastAsia"/>
          <w:kern w:val="0"/>
          <w:szCs w:val="21"/>
        </w:rPr>
        <w:t>规定</w:t>
      </w:r>
      <w:r>
        <w:rPr>
          <w:rFonts w:hint="eastAsia"/>
          <w:kern w:val="0"/>
          <w:szCs w:val="21"/>
          <w:lang w:val="zh-CN"/>
        </w:rPr>
        <w:t>。按</w:t>
      </w:r>
      <w:r>
        <w:rPr>
          <w:rFonts w:hint="eastAsia"/>
          <w:kern w:val="0"/>
          <w:szCs w:val="21"/>
        </w:rPr>
        <w:t>滇黄精</w:t>
      </w:r>
      <w:r>
        <w:rPr>
          <w:rFonts w:hint="eastAsia"/>
          <w:kern w:val="0"/>
          <w:szCs w:val="21"/>
          <w:lang w:val="zh-CN"/>
        </w:rPr>
        <w:t>类型、</w:t>
      </w:r>
      <w:r>
        <w:rPr>
          <w:rFonts w:hint="eastAsia"/>
          <w:kern w:val="0"/>
          <w:szCs w:val="21"/>
        </w:rPr>
        <w:t>等级分级</w:t>
      </w:r>
      <w:r>
        <w:rPr>
          <w:rFonts w:hint="eastAsia"/>
          <w:kern w:val="0"/>
          <w:szCs w:val="21"/>
          <w:lang w:val="zh-CN"/>
        </w:rPr>
        <w:t>包装，</w:t>
      </w:r>
      <w:r>
        <w:t>包装材料应选用可降解或可回收利用的环保材料，每包重量不超过</w:t>
      </w:r>
      <w:r>
        <w:t>25</w:t>
      </w:r>
      <w:r>
        <w:rPr>
          <w:rFonts w:hint="eastAsia"/>
        </w:rPr>
        <w:t xml:space="preserve"> </w:t>
      </w:r>
      <w:r>
        <w:t>kg</w:t>
      </w:r>
      <w:r>
        <w:t>，包装上应标明产品名称、等级、产地、采收日期、保质期等信息。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 xml:space="preserve">11 </w:t>
      </w:r>
      <w:r w:rsidR="00D6127F">
        <w:rPr>
          <w:rFonts w:hAnsi="黑体" w:cs="黑体" w:hint="eastAsia"/>
        </w:rPr>
        <w:t>储</w:t>
      </w:r>
      <w:r>
        <w:rPr>
          <w:rFonts w:hAnsi="黑体" w:cs="黑体" w:hint="eastAsia"/>
        </w:rPr>
        <w:t>藏和运输</w:t>
      </w:r>
    </w:p>
    <w:p w:rsidR="00EA0B44" w:rsidRDefault="00D6127F" w:rsidP="00E53638">
      <w:pPr>
        <w:autoSpaceDE w:val="0"/>
        <w:autoSpaceDN w:val="0"/>
        <w:adjustRightInd w:val="0"/>
        <w:snapToGrid w:val="0"/>
        <w:spacing w:line="360" w:lineRule="auto"/>
        <w:ind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储</w:t>
      </w:r>
      <w:r w:rsidR="00731755">
        <w:rPr>
          <w:rFonts w:hint="eastAsia"/>
          <w:kern w:val="0"/>
          <w:szCs w:val="21"/>
        </w:rPr>
        <w:t>藏和运输应符合</w:t>
      </w:r>
      <w:r w:rsidR="00731755">
        <w:rPr>
          <w:rFonts w:hint="eastAsia"/>
          <w:kern w:val="0"/>
          <w:szCs w:val="21"/>
        </w:rPr>
        <w:t>NY/T 1056</w:t>
      </w:r>
      <w:r w:rsidR="00731755">
        <w:rPr>
          <w:rFonts w:hint="eastAsia"/>
          <w:kern w:val="0"/>
          <w:szCs w:val="21"/>
        </w:rPr>
        <w:t>的要求。在低温（≤</w:t>
      </w:r>
      <w:r w:rsidR="00731755">
        <w:rPr>
          <w:rFonts w:hint="eastAsia"/>
          <w:kern w:val="0"/>
          <w:szCs w:val="21"/>
        </w:rPr>
        <w:t xml:space="preserve">25 </w:t>
      </w:r>
      <w:r w:rsidR="00731755">
        <w:rPr>
          <w:rFonts w:hint="eastAsia"/>
          <w:kern w:val="0"/>
          <w:szCs w:val="21"/>
        </w:rPr>
        <w:t>℃）干燥（湿度≤</w:t>
      </w:r>
      <w:r w:rsidR="00731755">
        <w:rPr>
          <w:rFonts w:hint="eastAsia"/>
          <w:kern w:val="0"/>
          <w:szCs w:val="21"/>
        </w:rPr>
        <w:t>60%</w:t>
      </w:r>
      <w:r w:rsidR="00731755">
        <w:rPr>
          <w:rFonts w:hint="eastAsia"/>
          <w:kern w:val="0"/>
          <w:szCs w:val="21"/>
        </w:rPr>
        <w:t>）条件下避光保存，库内滇黄精应</w:t>
      </w:r>
      <w:r w:rsidR="00731755">
        <w:rPr>
          <w:rFonts w:hint="eastAsia"/>
          <w:kern w:val="0"/>
          <w:szCs w:val="21"/>
          <w:lang w:val="zh-CN"/>
        </w:rPr>
        <w:t>分类分级</w:t>
      </w:r>
      <w:r w:rsidR="00731755">
        <w:rPr>
          <w:rFonts w:hint="eastAsia"/>
          <w:kern w:val="0"/>
          <w:szCs w:val="21"/>
        </w:rPr>
        <w:t>摆放，与非绿色食品做好区分，</w:t>
      </w:r>
      <w:r w:rsidR="00731755">
        <w:rPr>
          <w:rFonts w:hint="eastAsia"/>
          <w:kern w:val="0"/>
          <w:szCs w:val="21"/>
          <w:lang w:val="zh-CN"/>
        </w:rPr>
        <w:t>保证</w:t>
      </w:r>
      <w:r w:rsidR="00731755">
        <w:rPr>
          <w:rFonts w:hint="eastAsia"/>
          <w:kern w:val="0"/>
          <w:szCs w:val="21"/>
        </w:rPr>
        <w:t>空气</w:t>
      </w:r>
      <w:r w:rsidR="00731755">
        <w:rPr>
          <w:rFonts w:hint="eastAsia"/>
          <w:kern w:val="0"/>
          <w:szCs w:val="21"/>
          <w:lang w:val="zh-CN"/>
        </w:rPr>
        <w:t>均匀流通，</w:t>
      </w:r>
      <w:r>
        <w:rPr>
          <w:rFonts w:hint="eastAsia"/>
        </w:rPr>
        <w:t>储</w:t>
      </w:r>
      <w:r w:rsidR="00731755">
        <w:t>藏期间每月检查</w:t>
      </w:r>
      <w:r w:rsidR="00731755">
        <w:t>1</w:t>
      </w:r>
      <w:r w:rsidR="00731755">
        <w:t>次，及时清除变质产品</w:t>
      </w:r>
      <w:r w:rsidR="00731755">
        <w:rPr>
          <w:rFonts w:hint="eastAsia"/>
          <w:kern w:val="0"/>
          <w:szCs w:val="21"/>
          <w:lang w:val="zh-CN"/>
        </w:rPr>
        <w:t>。</w:t>
      </w:r>
      <w:r w:rsidR="00731755">
        <w:rPr>
          <w:rFonts w:hint="eastAsia"/>
          <w:kern w:val="0"/>
          <w:szCs w:val="21"/>
        </w:rPr>
        <w:t>冷藏库确保密闭，进场前已经做好消毒、防鼠工作。</w:t>
      </w:r>
      <w:r w:rsidR="00731755">
        <w:rPr>
          <w:rFonts w:hint="eastAsia"/>
          <w:kern w:val="0"/>
          <w:szCs w:val="21"/>
          <w:lang w:val="zh-CN"/>
        </w:rPr>
        <w:t>运输工具应清洁、卫生、无污染；装运时轻装、轻卸；运输</w:t>
      </w:r>
      <w:r w:rsidR="00731755">
        <w:rPr>
          <w:rFonts w:hint="eastAsia"/>
          <w:kern w:val="0"/>
          <w:szCs w:val="21"/>
        </w:rPr>
        <w:t>时</w:t>
      </w:r>
      <w:r w:rsidR="00731755">
        <w:rPr>
          <w:rFonts w:hint="eastAsia"/>
          <w:kern w:val="0"/>
          <w:szCs w:val="21"/>
          <w:lang w:val="zh-CN"/>
        </w:rPr>
        <w:t>注意防冻、防雨、防晒、通风散热，严禁与有害有毒物质或其他可能污染滇黄精品质的货物混装运输。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12 生产废弃物处理</w:t>
      </w:r>
    </w:p>
    <w:p w:rsidR="00EA0B44" w:rsidRDefault="00731755" w:rsidP="00E53638">
      <w:pPr>
        <w:pStyle w:val="afff2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滇黄精</w:t>
      </w:r>
      <w:r>
        <w:rPr>
          <w:rFonts w:ascii="Times New Roman" w:hAnsi="Times New Roman" w:cs="Times New Roman"/>
        </w:rPr>
        <w:t>生产中产生的主要废弃物有使用</w:t>
      </w:r>
      <w:r>
        <w:rPr>
          <w:rFonts w:ascii="Times New Roman" w:hAnsi="Times New Roman" w:cs="Times New Roman" w:hint="eastAsia"/>
        </w:rPr>
        <w:t>过</w:t>
      </w:r>
      <w:r>
        <w:rPr>
          <w:rFonts w:ascii="Times New Roman" w:hAnsi="Times New Roman" w:cs="Times New Roman"/>
        </w:rPr>
        <w:t>的农药包装袋（瓶）、农膜、</w:t>
      </w:r>
      <w:r>
        <w:rPr>
          <w:rFonts w:ascii="Times New Roman" w:hAnsi="Times New Roman" w:cs="Times New Roman" w:hint="eastAsia"/>
        </w:rPr>
        <w:t>滴灌带、遮阳网、</w:t>
      </w:r>
      <w:r>
        <w:rPr>
          <w:rFonts w:ascii="Times New Roman" w:hAnsi="Times New Roman" w:cs="Times New Roman"/>
        </w:rPr>
        <w:t>架材和植株残体等</w:t>
      </w:r>
      <w:r>
        <w:rPr>
          <w:rFonts w:ascii="Times New Roman" w:hAnsi="Times New Roman" w:cs="Times New Roman" w:hint="eastAsia"/>
        </w:rPr>
        <w:t>。对于</w:t>
      </w:r>
      <w:r>
        <w:rPr>
          <w:rFonts w:ascii="Times New Roman" w:hAnsi="Times New Roman" w:cs="Times New Roman"/>
        </w:rPr>
        <w:t>使用的农药包装袋（瓶）应及时</w:t>
      </w:r>
      <w:r>
        <w:rPr>
          <w:rFonts w:ascii="Times New Roman" w:hAnsi="Times New Roman" w:cs="Times New Roman" w:hint="eastAsia"/>
        </w:rPr>
        <w:t>收集，交于有关部门</w:t>
      </w:r>
      <w:r>
        <w:rPr>
          <w:rFonts w:ascii="Times New Roman" w:hAnsi="Times New Roman" w:cs="Times New Roman"/>
        </w:rPr>
        <w:t>进行无害化处理</w:t>
      </w:r>
      <w:r>
        <w:rPr>
          <w:rFonts w:ascii="Times New Roman" w:hAnsi="Times New Roman" w:cs="Times New Roman" w:hint="eastAsia"/>
        </w:rPr>
        <w:t>；地膜等</w:t>
      </w:r>
      <w:r>
        <w:rPr>
          <w:rFonts w:ascii="Times New Roman" w:hAnsi="Times New Roman" w:cs="Times New Roman"/>
        </w:rPr>
        <w:t>农膜</w:t>
      </w:r>
      <w:r>
        <w:rPr>
          <w:rFonts w:ascii="Times New Roman" w:hAnsi="Times New Roman" w:cs="Times New Roman" w:hint="eastAsia"/>
        </w:rPr>
        <w:t>在清田时</w:t>
      </w:r>
      <w:r>
        <w:rPr>
          <w:rFonts w:ascii="Times New Roman" w:hAnsi="Times New Roman" w:cs="Times New Roman"/>
        </w:rPr>
        <w:t>应集中回收再生利用</w:t>
      </w:r>
      <w:r>
        <w:rPr>
          <w:rFonts w:ascii="Times New Roman" w:hAnsi="Times New Roman" w:cs="Times New Roman" w:hint="eastAsia"/>
        </w:rPr>
        <w:t>；架材、滴灌带、遮阳网应及时回收再次使用，</w:t>
      </w:r>
      <w:r>
        <w:rPr>
          <w:rFonts w:ascii="Times New Roman" w:hAnsi="Times New Roman" w:cs="Times New Roman"/>
        </w:rPr>
        <w:t>不</w:t>
      </w:r>
      <w:r>
        <w:rPr>
          <w:rFonts w:ascii="Times New Roman" w:hAnsi="Times New Roman" w:cs="Times New Roman" w:hint="eastAsia"/>
        </w:rPr>
        <w:t>乱</w:t>
      </w:r>
      <w:r>
        <w:rPr>
          <w:rFonts w:ascii="Times New Roman" w:hAnsi="Times New Roman" w:cs="Times New Roman"/>
        </w:rPr>
        <w:t>堆</w:t>
      </w:r>
      <w:r>
        <w:rPr>
          <w:rFonts w:ascii="Times New Roman" w:hAnsi="Times New Roman" w:cs="Times New Roman" w:hint="eastAsia"/>
        </w:rPr>
        <w:t>乱</w:t>
      </w:r>
      <w:r>
        <w:rPr>
          <w:rFonts w:ascii="Times New Roman" w:hAnsi="Times New Roman" w:cs="Times New Roman"/>
        </w:rPr>
        <w:t>放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植株残体可集中堆沤充分发酵后作为有机肥回田</w:t>
      </w:r>
      <w:r>
        <w:rPr>
          <w:rFonts w:ascii="Times New Roman" w:hAnsi="Times New Roman" w:cs="Times New Roman" w:hint="eastAsia"/>
        </w:rPr>
        <w:t>利用。</w:t>
      </w:r>
    </w:p>
    <w:p w:rsidR="00EA0B44" w:rsidRDefault="00731755" w:rsidP="00E53638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rPr>
          <w:rFonts w:hAnsi="黑体" w:cs="黑体"/>
        </w:rPr>
      </w:pPr>
      <w:r>
        <w:rPr>
          <w:rFonts w:hAnsi="黑体" w:cs="黑体" w:hint="eastAsia"/>
        </w:rPr>
        <w:t>13 生产档案管理</w:t>
      </w:r>
    </w:p>
    <w:p w:rsidR="00E53638" w:rsidRDefault="00731755" w:rsidP="00E53638">
      <w:pPr>
        <w:pStyle w:val="12"/>
        <w:adjustRightInd w:val="0"/>
        <w:snapToGrid w:val="0"/>
        <w:spacing w:beforeLines="0" w:afterLines="0"/>
        <w:ind w:left="0"/>
        <w:rPr>
          <w:rFonts w:ascii="宋体" w:hAnsi="宋体" w:cs="宋体"/>
          <w:szCs w:val="22"/>
          <w:lang w:val="zh-CN"/>
        </w:rPr>
        <w:sectPr w:rsidR="00E53638" w:rsidSect="001B5324">
          <w:footerReference w:type="even" r:id="rId13"/>
          <w:footerReference w:type="default" r:id="rId1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宋体" w:hAnsi="宋体" w:cs="宋体" w:hint="eastAsia"/>
          <w:szCs w:val="22"/>
          <w:lang w:val="zh-CN"/>
        </w:rPr>
        <w:t>建立绿色食品</w:t>
      </w:r>
      <w:r>
        <w:rPr>
          <w:rFonts w:ascii="宋体" w:hAnsi="宋体" w:cs="宋体" w:hint="eastAsia"/>
          <w:szCs w:val="22"/>
        </w:rPr>
        <w:t>滇黄精</w:t>
      </w:r>
      <w:r>
        <w:rPr>
          <w:rFonts w:ascii="宋体" w:hAnsi="宋体" w:cs="宋体" w:hint="eastAsia"/>
          <w:szCs w:val="22"/>
          <w:lang w:val="zh-CN"/>
        </w:rPr>
        <w:t>生产档案，详细记录产地环境条件、生产管理</w:t>
      </w:r>
      <w:r>
        <w:rPr>
          <w:rFonts w:ascii="宋体" w:hAnsi="宋体" w:cs="宋体" w:hint="eastAsia"/>
          <w:szCs w:val="22"/>
        </w:rPr>
        <w:t>措施</w:t>
      </w:r>
      <w:r>
        <w:rPr>
          <w:rFonts w:ascii="宋体" w:hAnsi="宋体" w:cs="宋体" w:hint="eastAsia"/>
          <w:szCs w:val="22"/>
          <w:lang w:val="zh-CN"/>
        </w:rPr>
        <w:t>、</w:t>
      </w:r>
      <w:r>
        <w:rPr>
          <w:rFonts w:ascii="宋体" w:hAnsi="宋体" w:cs="宋体" w:hint="eastAsia"/>
          <w:szCs w:val="22"/>
        </w:rPr>
        <w:t>农药和肥料等投入品购置和使用、储运和销售等情况；所有记录应真实、准确、规范，并具有可追溯性。生产档案应有专人专柜保管，</w:t>
      </w:r>
      <w:r>
        <w:rPr>
          <w:rFonts w:ascii="宋体" w:hAnsi="宋体" w:cs="宋体" w:hint="eastAsia"/>
          <w:szCs w:val="22"/>
          <w:lang w:val="zh-CN"/>
        </w:rPr>
        <w:t>记录</w:t>
      </w:r>
      <w:r>
        <w:rPr>
          <w:rFonts w:ascii="宋体" w:hAnsi="宋体" w:cs="宋体" w:hint="eastAsia"/>
          <w:szCs w:val="22"/>
        </w:rPr>
        <w:t>资料需</w:t>
      </w:r>
      <w:r>
        <w:rPr>
          <w:rFonts w:ascii="宋体" w:hAnsi="宋体" w:cs="宋体" w:hint="eastAsia"/>
          <w:szCs w:val="22"/>
          <w:lang w:val="zh-CN"/>
        </w:rPr>
        <w:t>保存3</w:t>
      </w:r>
      <w:r>
        <w:rPr>
          <w:rFonts w:ascii="宋体" w:hAnsi="宋体" w:cs="宋体" w:hint="eastAsia"/>
          <w:szCs w:val="22"/>
        </w:rPr>
        <w:t>年</w:t>
      </w:r>
      <w:r>
        <w:rPr>
          <w:rFonts w:ascii="宋体" w:hAnsi="宋体" w:cs="宋体" w:hint="eastAsia"/>
          <w:szCs w:val="22"/>
          <w:lang w:val="zh-CN"/>
        </w:rPr>
        <w:t>以上，</w:t>
      </w:r>
      <w:r>
        <w:rPr>
          <w:rFonts w:ascii="宋体" w:hAnsi="宋体" w:cs="宋体" w:hint="eastAsia"/>
          <w:szCs w:val="22"/>
        </w:rPr>
        <w:t>电子记录可备份保存</w:t>
      </w:r>
      <w:r>
        <w:rPr>
          <w:rFonts w:ascii="宋体" w:hAnsi="宋体" w:cs="宋体" w:hint="eastAsia"/>
          <w:szCs w:val="22"/>
          <w:lang w:val="zh-CN"/>
        </w:rPr>
        <w:t>。</w:t>
      </w:r>
    </w:p>
    <w:p w:rsidR="00EA0B44" w:rsidRPr="00BF6E3E" w:rsidRDefault="00731755" w:rsidP="00BF6E3E">
      <w:pPr>
        <w:pStyle w:val="a4"/>
        <w:numPr>
          <w:ilvl w:val="0"/>
          <w:numId w:val="0"/>
        </w:numPr>
        <w:adjustRightInd w:val="0"/>
        <w:snapToGrid w:val="0"/>
        <w:spacing w:beforeLines="0" w:afterLines="0" w:line="360" w:lineRule="auto"/>
        <w:jc w:val="center"/>
        <w:rPr>
          <w:rFonts w:hAnsi="黑体" w:cs="黑体"/>
        </w:rPr>
      </w:pPr>
      <w:r w:rsidRPr="00BF6E3E">
        <w:rPr>
          <w:rFonts w:hAnsi="黑体" w:cs="黑体" w:hint="eastAsia"/>
        </w:rPr>
        <w:lastRenderedPageBreak/>
        <w:t>附</w:t>
      </w:r>
      <w:r w:rsidRPr="00BF6E3E">
        <w:rPr>
          <w:rFonts w:hAnsi="黑体" w:cs="黑体"/>
        </w:rPr>
        <w:t xml:space="preserve"> </w:t>
      </w:r>
      <w:r w:rsidRPr="00BF6E3E">
        <w:rPr>
          <w:rFonts w:hAnsi="黑体" w:cs="黑体" w:hint="eastAsia"/>
        </w:rPr>
        <w:t>录</w:t>
      </w:r>
      <w:r w:rsidRPr="00BF6E3E">
        <w:rPr>
          <w:rFonts w:hAnsi="黑体" w:cs="黑体"/>
        </w:rPr>
        <w:t xml:space="preserve"> A</w:t>
      </w:r>
      <w:bookmarkStart w:id="25" w:name="_Toc493528180"/>
    </w:p>
    <w:p w:rsidR="00EA0B44" w:rsidRDefault="00731755">
      <w:pPr>
        <w:jc w:val="center"/>
        <w:rPr>
          <w:rFonts w:ascii="黑体" w:eastAsia="黑体"/>
          <w:kern w:val="0"/>
          <w:szCs w:val="20"/>
        </w:rPr>
      </w:pPr>
      <w:r>
        <w:rPr>
          <w:rFonts w:ascii="黑体" w:eastAsia="黑体"/>
          <w:kern w:val="0"/>
          <w:szCs w:val="20"/>
        </w:rPr>
        <w:t>（资料性附录）</w:t>
      </w:r>
    </w:p>
    <w:p w:rsidR="00EA0B44" w:rsidRDefault="00731755">
      <w:pPr>
        <w:jc w:val="center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西南地区</w:t>
      </w:r>
      <w:r w:rsidR="001B5324">
        <w:rPr>
          <w:rFonts w:ascii="黑体" w:eastAsia="黑体" w:hint="eastAsia"/>
          <w:kern w:val="0"/>
          <w:szCs w:val="20"/>
        </w:rPr>
        <w:t xml:space="preserve"> </w:t>
      </w:r>
      <w:r>
        <w:rPr>
          <w:rFonts w:ascii="黑体" w:eastAsia="黑体"/>
          <w:kern w:val="0"/>
          <w:szCs w:val="20"/>
        </w:rPr>
        <w:t>绿色食品</w:t>
      </w:r>
      <w:r>
        <w:rPr>
          <w:rFonts w:ascii="黑体" w:eastAsia="黑体" w:hint="eastAsia"/>
          <w:kern w:val="0"/>
          <w:szCs w:val="20"/>
        </w:rPr>
        <w:t>滇黄精生产主要病虫害化学防治方案</w:t>
      </w:r>
      <w:bookmarkEnd w:id="25"/>
    </w:p>
    <w:p w:rsidR="002A518E" w:rsidRDefault="002A518E">
      <w:pPr>
        <w:jc w:val="center"/>
        <w:rPr>
          <w:rFonts w:ascii="黑体" w:eastAsia="黑体"/>
          <w:kern w:val="0"/>
          <w:szCs w:val="20"/>
        </w:rPr>
      </w:pPr>
    </w:p>
    <w:p w:rsidR="002A518E" w:rsidRDefault="002A518E" w:rsidP="00BF6E3E">
      <w:pPr>
        <w:ind w:firstLineChars="200" w:firstLine="420"/>
        <w:jc w:val="left"/>
        <w:rPr>
          <w:rFonts w:asciiTheme="minorEastAsia" w:eastAsiaTheme="minorEastAsia" w:hAnsiTheme="minorEastAsia"/>
          <w:kern w:val="0"/>
          <w:szCs w:val="20"/>
        </w:rPr>
      </w:pPr>
      <w:r w:rsidRPr="00BF6E3E">
        <w:rPr>
          <w:rFonts w:asciiTheme="minorEastAsia" w:eastAsiaTheme="minorEastAsia" w:hAnsiTheme="minorEastAsia" w:hint="eastAsia"/>
          <w:kern w:val="0"/>
          <w:szCs w:val="20"/>
        </w:rPr>
        <w:t>西南地区绿</w:t>
      </w:r>
      <w:r w:rsidR="001B5324">
        <w:rPr>
          <w:rFonts w:asciiTheme="minorEastAsia" w:eastAsiaTheme="minorEastAsia" w:hAnsiTheme="minorEastAsia" w:hint="eastAsia"/>
          <w:kern w:val="0"/>
          <w:szCs w:val="20"/>
        </w:rPr>
        <w:t xml:space="preserve"> </w:t>
      </w:r>
      <w:r w:rsidRPr="00BF6E3E">
        <w:rPr>
          <w:rFonts w:asciiTheme="minorEastAsia" w:eastAsiaTheme="minorEastAsia" w:hAnsiTheme="minorEastAsia" w:hint="eastAsia"/>
          <w:kern w:val="0"/>
          <w:szCs w:val="20"/>
        </w:rPr>
        <w:t>色食品滇黄精生产主要病虫害化学防治方案见表A.1。</w:t>
      </w:r>
    </w:p>
    <w:p w:rsidR="001B5324" w:rsidRPr="00BF6E3E" w:rsidRDefault="001B5324" w:rsidP="00BF6E3E">
      <w:pPr>
        <w:ind w:firstLineChars="200" w:firstLine="420"/>
        <w:jc w:val="left"/>
        <w:rPr>
          <w:rFonts w:asciiTheme="minorEastAsia" w:eastAsiaTheme="minorEastAsia" w:hAnsiTheme="minorEastAsia"/>
          <w:kern w:val="0"/>
          <w:szCs w:val="20"/>
        </w:rPr>
      </w:pPr>
    </w:p>
    <w:p w:rsidR="00EA0B44" w:rsidRDefault="002A518E">
      <w:pPr>
        <w:jc w:val="center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表A.1 西南地区</w:t>
      </w:r>
      <w:r w:rsidR="001B5324">
        <w:rPr>
          <w:rFonts w:ascii="黑体" w:eastAsia="黑体" w:hint="eastAsia"/>
          <w:kern w:val="0"/>
          <w:szCs w:val="20"/>
        </w:rPr>
        <w:t xml:space="preserve"> </w:t>
      </w:r>
      <w:r>
        <w:rPr>
          <w:rFonts w:ascii="黑体" w:eastAsia="黑体"/>
          <w:kern w:val="0"/>
          <w:szCs w:val="20"/>
        </w:rPr>
        <w:t>绿色食品</w:t>
      </w:r>
      <w:r>
        <w:rPr>
          <w:rFonts w:ascii="黑体" w:eastAsia="黑体" w:hint="eastAsia"/>
          <w:kern w:val="0"/>
          <w:szCs w:val="20"/>
        </w:rPr>
        <w:t>滇黄精生产主要病虫害化学防治方案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1275"/>
        <w:gridCol w:w="2268"/>
        <w:gridCol w:w="1560"/>
        <w:gridCol w:w="1146"/>
        <w:gridCol w:w="1359"/>
      </w:tblGrid>
      <w:tr w:rsidR="00EA0B44" w:rsidTr="001B5324">
        <w:trPr>
          <w:trHeight w:val="397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防治对象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  <w:u w:val="doub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防治时期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农药名称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使用剂量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 w:rsidP="001B53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施药方法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安全间隔期</w:t>
            </w:r>
          </w:p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天数（d）</w:t>
            </w:r>
          </w:p>
        </w:tc>
      </w:tr>
      <w:tr w:rsidR="00EA0B44" w:rsidTr="001B5324">
        <w:trPr>
          <w:trHeight w:val="754"/>
          <w:jc w:val="center"/>
        </w:trPr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根腐病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发生初期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40%异菌·氟啶胺悬浮剂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稀释1000～1500倍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喷淋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21</w:t>
            </w:r>
          </w:p>
        </w:tc>
      </w:tr>
      <w:tr w:rsidR="00EA0B44" w:rsidTr="001B5324">
        <w:trPr>
          <w:trHeight w:val="774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bookmarkStart w:id="26" w:name="OLE_LINK9"/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蛴螬</w:t>
            </w:r>
            <w:bookmarkEnd w:id="26"/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等地下害虫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播种时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3%</w:t>
            </w:r>
            <w:bookmarkStart w:id="27" w:name="OLE_LINK7"/>
            <w:bookmarkStart w:id="28" w:name="OLE_LINK8"/>
            <w:bookmarkStart w:id="29" w:name="OLE_LINK1"/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辛硫磷</w:t>
            </w:r>
            <w:bookmarkEnd w:id="27"/>
            <w:bookmarkEnd w:id="28"/>
            <w:bookmarkEnd w:id="29"/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颗粒剂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4000～8333 g/亩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  <w:lang w:bidi="ar"/>
              </w:rPr>
              <w:t>沟施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—</w:t>
            </w:r>
          </w:p>
        </w:tc>
      </w:tr>
      <w:tr w:rsidR="00EA0B44" w:rsidTr="001B5324">
        <w:trPr>
          <w:trHeight w:val="563"/>
          <w:jc w:val="center"/>
        </w:trPr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44" w:rsidRDefault="00731755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注：农药使用以最新版本NY/T 393的规定为准。</w:t>
            </w:r>
          </w:p>
        </w:tc>
      </w:tr>
    </w:tbl>
    <w:p w:rsidR="00EA0B44" w:rsidRDefault="00EA0B44">
      <w:pPr>
        <w:pStyle w:val="afff2"/>
      </w:pPr>
    </w:p>
    <w:p w:rsidR="001B5324" w:rsidRDefault="001B5324">
      <w:pPr>
        <w:pStyle w:val="afff2"/>
      </w:pPr>
      <w:r>
        <w:rPr>
          <w:rFonts w:hAnsi="宋体" w:cs="宋体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AF9A88" wp14:editId="20C82AA0">
                <wp:simplePos x="0" y="0"/>
                <wp:positionH relativeFrom="column">
                  <wp:posOffset>1689652</wp:posOffset>
                </wp:positionH>
                <wp:positionV relativeFrom="paragraph">
                  <wp:posOffset>68938</wp:posOffset>
                </wp:positionV>
                <wp:extent cx="1800000" cy="6016"/>
                <wp:effectExtent l="0" t="0" r="29210" b="3238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601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19E047" id="直接连接符 2" o:spid="_x0000_s1026" style="position:absolute;left:0;text-align:left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05pt,5.45pt" to="274.8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" strokecolor="black [3213]"/>
            </w:pict>
          </mc:Fallback>
        </mc:AlternateContent>
      </w:r>
    </w:p>
    <w:sectPr w:rsidR="001B5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B1B" w:rsidRDefault="001B4B1B">
      <w:r>
        <w:separator/>
      </w:r>
    </w:p>
  </w:endnote>
  <w:endnote w:type="continuationSeparator" w:id="0">
    <w:p w:rsidR="001B4B1B" w:rsidRDefault="001B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09B8B599-2B10-447D-8C12-3787F2561BD1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2" w:subsetted="1" w:fontKey="{C335C7B1-D612-4C8B-BB37-6F924552C0C4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324" w:rsidRDefault="001B5324" w:rsidP="001B5324">
    <w:pPr>
      <w:pStyle w:val="af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B44" w:rsidRDefault="00731755">
    <w:pPr>
      <w:pStyle w:val="afffff3"/>
    </w:pPr>
    <w:r>
      <w:fldChar w:fldCharType="begin"/>
    </w:r>
    <w:r>
      <w:instrText xml:space="preserve"> PAGE  \* MERGEFORMAT </w:instrText>
    </w:r>
    <w:r>
      <w:fldChar w:fldCharType="separate"/>
    </w:r>
    <w:r w:rsidR="001B5324">
      <w:rPr>
        <w:noProof/>
      </w:rPr>
      <w:t>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8910377"/>
      <w:docPartObj>
        <w:docPartGallery w:val="Page Numbers (Bottom of Page)"/>
        <w:docPartUnique/>
      </w:docPartObj>
    </w:sdtPr>
    <w:sdtEndPr/>
    <w:sdtContent>
      <w:p w:rsidR="001B5324" w:rsidRDefault="001B5324" w:rsidP="001B5324">
        <w:pPr>
          <w:pStyle w:val="aff7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369" w:rsidRPr="007A536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324" w:rsidRDefault="001B5324">
    <w:pPr>
      <w:pStyle w:val="afffff3"/>
    </w:pPr>
    <w:r>
      <w:fldChar w:fldCharType="begin"/>
    </w:r>
    <w:r>
      <w:instrText xml:space="preserve"> PAGE  \* MERGEFORMAT </w:instrText>
    </w:r>
    <w:r>
      <w:fldChar w:fldCharType="separate"/>
    </w:r>
    <w:r w:rsidR="007A53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B1B" w:rsidRDefault="001B4B1B">
      <w:r>
        <w:separator/>
      </w:r>
    </w:p>
  </w:footnote>
  <w:footnote w:type="continuationSeparator" w:id="0">
    <w:p w:rsidR="001B4B1B" w:rsidRDefault="001B4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638" w:rsidRDefault="001B4B1B">
    <w:pPr>
      <w:pStyle w:val="aff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76802" o:spid="_x0000_s2050" type="#_x0000_t75" style="position:absolute;margin-left:0;margin-top:0;width:415.25pt;height:387pt;z-index:-25165721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638" w:rsidRDefault="001B4B1B">
    <w:pPr>
      <w:pStyle w:val="aff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76803" o:spid="_x0000_s2051" type="#_x0000_t75" style="position:absolute;margin-left:0;margin-top:0;width:415.25pt;height:387pt;z-index:-25165619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638" w:rsidRDefault="001B4B1B">
    <w:pPr>
      <w:pStyle w:val="aff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76801" o:spid="_x0000_s2049" type="#_x0000_t75" style="position:absolute;margin-left:0;margin-top:0;width:415.25pt;height:387pt;z-index:-25165824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453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198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568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>
      <w:start w:val="1"/>
      <w:numFmt w:val="lowerLetter"/>
      <w:pStyle w:val="afc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d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>
      <w:start w:val="1"/>
      <w:numFmt w:val="none"/>
      <w:pStyle w:val="af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3"/>
  </w:num>
  <w:num w:numId="5">
    <w:abstractNumId w:val="15"/>
  </w:num>
  <w:num w:numId="6">
    <w:abstractNumId w:val="5"/>
  </w:num>
  <w:num w:numId="7">
    <w:abstractNumId w:val="16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  <w:num w:numId="13">
    <w:abstractNumId w:val="13"/>
  </w:num>
  <w:num w:numId="14">
    <w:abstractNumId w:val="11"/>
  </w:num>
  <w:num w:numId="15">
    <w:abstractNumId w:val="12"/>
  </w:num>
  <w:num w:numId="16">
    <w:abstractNumId w:val="0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TrueTypeFonts/>
  <w:saveSubsetFonts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ZmJiODQ4NmU5YzcxOTZkZWFlNDQzNWQwOTkwMjUifQ=="/>
  </w:docVars>
  <w:rsids>
    <w:rsidRoot w:val="000C19FC"/>
    <w:rsid w:val="AE4BF8BE"/>
    <w:rsid w:val="B57F3CDD"/>
    <w:rsid w:val="BC2E21D2"/>
    <w:rsid w:val="BDDD50DE"/>
    <w:rsid w:val="BFA3689B"/>
    <w:rsid w:val="D7FF8AE3"/>
    <w:rsid w:val="EBFF89C4"/>
    <w:rsid w:val="EDFB7AD6"/>
    <w:rsid w:val="F75F2461"/>
    <w:rsid w:val="F77E923E"/>
    <w:rsid w:val="FEF7A1FB"/>
    <w:rsid w:val="FFB32DB2"/>
    <w:rsid w:val="000038A8"/>
    <w:rsid w:val="000274FA"/>
    <w:rsid w:val="00037E5D"/>
    <w:rsid w:val="0007378B"/>
    <w:rsid w:val="000861FF"/>
    <w:rsid w:val="000905B5"/>
    <w:rsid w:val="00097178"/>
    <w:rsid w:val="000B05F1"/>
    <w:rsid w:val="000B57C9"/>
    <w:rsid w:val="000C19FC"/>
    <w:rsid w:val="000D586E"/>
    <w:rsid w:val="000E1D3D"/>
    <w:rsid w:val="000E7E92"/>
    <w:rsid w:val="000F5DCD"/>
    <w:rsid w:val="001353B4"/>
    <w:rsid w:val="00154BC9"/>
    <w:rsid w:val="00180CBB"/>
    <w:rsid w:val="001901C3"/>
    <w:rsid w:val="001A5389"/>
    <w:rsid w:val="001A55F4"/>
    <w:rsid w:val="001B4B1B"/>
    <w:rsid w:val="001B5324"/>
    <w:rsid w:val="001D063A"/>
    <w:rsid w:val="00215405"/>
    <w:rsid w:val="00222497"/>
    <w:rsid w:val="00222512"/>
    <w:rsid w:val="0023101C"/>
    <w:rsid w:val="00231C64"/>
    <w:rsid w:val="00282DA7"/>
    <w:rsid w:val="002A2381"/>
    <w:rsid w:val="002A518E"/>
    <w:rsid w:val="002C6823"/>
    <w:rsid w:val="002F249F"/>
    <w:rsid w:val="00334A72"/>
    <w:rsid w:val="003366F5"/>
    <w:rsid w:val="00342A1B"/>
    <w:rsid w:val="00345AA7"/>
    <w:rsid w:val="003928F3"/>
    <w:rsid w:val="003A1F2B"/>
    <w:rsid w:val="003C52B9"/>
    <w:rsid w:val="003E3231"/>
    <w:rsid w:val="003F334A"/>
    <w:rsid w:val="00415E81"/>
    <w:rsid w:val="00424251"/>
    <w:rsid w:val="004536C8"/>
    <w:rsid w:val="00477547"/>
    <w:rsid w:val="00497854"/>
    <w:rsid w:val="004A409B"/>
    <w:rsid w:val="004C7A07"/>
    <w:rsid w:val="004D197F"/>
    <w:rsid w:val="004E485C"/>
    <w:rsid w:val="004F293E"/>
    <w:rsid w:val="004F4D85"/>
    <w:rsid w:val="00512FAF"/>
    <w:rsid w:val="00582B6D"/>
    <w:rsid w:val="0059573D"/>
    <w:rsid w:val="005C33A3"/>
    <w:rsid w:val="005C513D"/>
    <w:rsid w:val="005D0AF7"/>
    <w:rsid w:val="005E3B63"/>
    <w:rsid w:val="005F1B17"/>
    <w:rsid w:val="006178D9"/>
    <w:rsid w:val="006328AE"/>
    <w:rsid w:val="00676393"/>
    <w:rsid w:val="00694FD0"/>
    <w:rsid w:val="006B217C"/>
    <w:rsid w:val="006F497F"/>
    <w:rsid w:val="00704AF9"/>
    <w:rsid w:val="007103D1"/>
    <w:rsid w:val="00731755"/>
    <w:rsid w:val="007355FF"/>
    <w:rsid w:val="00745BDD"/>
    <w:rsid w:val="00753286"/>
    <w:rsid w:val="007632F0"/>
    <w:rsid w:val="00773F7F"/>
    <w:rsid w:val="007849F1"/>
    <w:rsid w:val="007A5369"/>
    <w:rsid w:val="007A6A8C"/>
    <w:rsid w:val="007C0DD5"/>
    <w:rsid w:val="007C17E0"/>
    <w:rsid w:val="007C34BC"/>
    <w:rsid w:val="007D03D3"/>
    <w:rsid w:val="007E4304"/>
    <w:rsid w:val="007F671F"/>
    <w:rsid w:val="008034D8"/>
    <w:rsid w:val="0080519A"/>
    <w:rsid w:val="00810BF4"/>
    <w:rsid w:val="0081290A"/>
    <w:rsid w:val="00823BE3"/>
    <w:rsid w:val="008331F1"/>
    <w:rsid w:val="00834684"/>
    <w:rsid w:val="00834F1B"/>
    <w:rsid w:val="00866D32"/>
    <w:rsid w:val="008A1685"/>
    <w:rsid w:val="008D284B"/>
    <w:rsid w:val="008D7FAC"/>
    <w:rsid w:val="0095632A"/>
    <w:rsid w:val="00967459"/>
    <w:rsid w:val="009953AD"/>
    <w:rsid w:val="009B59A4"/>
    <w:rsid w:val="009F4F6F"/>
    <w:rsid w:val="00A06E96"/>
    <w:rsid w:val="00A136F5"/>
    <w:rsid w:val="00A40721"/>
    <w:rsid w:val="00A66601"/>
    <w:rsid w:val="00A74179"/>
    <w:rsid w:val="00A743C1"/>
    <w:rsid w:val="00A87EC1"/>
    <w:rsid w:val="00A96B7A"/>
    <w:rsid w:val="00AF158F"/>
    <w:rsid w:val="00B70F08"/>
    <w:rsid w:val="00B83C0E"/>
    <w:rsid w:val="00B85080"/>
    <w:rsid w:val="00BA7915"/>
    <w:rsid w:val="00BC34AC"/>
    <w:rsid w:val="00BC4BBD"/>
    <w:rsid w:val="00BF6E3E"/>
    <w:rsid w:val="00C00F50"/>
    <w:rsid w:val="00C217B7"/>
    <w:rsid w:val="00C31BE6"/>
    <w:rsid w:val="00C42369"/>
    <w:rsid w:val="00C63DA1"/>
    <w:rsid w:val="00C66FDA"/>
    <w:rsid w:val="00C95929"/>
    <w:rsid w:val="00CB7DC4"/>
    <w:rsid w:val="00CD3C03"/>
    <w:rsid w:val="00CE49F7"/>
    <w:rsid w:val="00CE6013"/>
    <w:rsid w:val="00CF1D3F"/>
    <w:rsid w:val="00CF525C"/>
    <w:rsid w:val="00D04638"/>
    <w:rsid w:val="00D235D2"/>
    <w:rsid w:val="00D30948"/>
    <w:rsid w:val="00D3142D"/>
    <w:rsid w:val="00D6127F"/>
    <w:rsid w:val="00D6646A"/>
    <w:rsid w:val="00DA6DCC"/>
    <w:rsid w:val="00DC5694"/>
    <w:rsid w:val="00E04D43"/>
    <w:rsid w:val="00E13C1C"/>
    <w:rsid w:val="00E155D5"/>
    <w:rsid w:val="00E30810"/>
    <w:rsid w:val="00E31E64"/>
    <w:rsid w:val="00E45934"/>
    <w:rsid w:val="00E53638"/>
    <w:rsid w:val="00E538F5"/>
    <w:rsid w:val="00E6272A"/>
    <w:rsid w:val="00E74F9B"/>
    <w:rsid w:val="00E8454D"/>
    <w:rsid w:val="00EA0B44"/>
    <w:rsid w:val="00EB0D3A"/>
    <w:rsid w:val="00EF0A50"/>
    <w:rsid w:val="00F12863"/>
    <w:rsid w:val="00F47345"/>
    <w:rsid w:val="00F51B1E"/>
    <w:rsid w:val="00F7246A"/>
    <w:rsid w:val="00F76CA2"/>
    <w:rsid w:val="00F8609D"/>
    <w:rsid w:val="00F87B3D"/>
    <w:rsid w:val="00F93F11"/>
    <w:rsid w:val="00FC1780"/>
    <w:rsid w:val="00FE48F1"/>
    <w:rsid w:val="02B446AD"/>
    <w:rsid w:val="02E845D2"/>
    <w:rsid w:val="03304C5B"/>
    <w:rsid w:val="041E2451"/>
    <w:rsid w:val="084F3519"/>
    <w:rsid w:val="095E5DEE"/>
    <w:rsid w:val="0A7D5943"/>
    <w:rsid w:val="0CBD7BB4"/>
    <w:rsid w:val="0CCF2522"/>
    <w:rsid w:val="0D5A2878"/>
    <w:rsid w:val="0FC765AA"/>
    <w:rsid w:val="115049F7"/>
    <w:rsid w:val="130472D8"/>
    <w:rsid w:val="14013F61"/>
    <w:rsid w:val="14CC6EAC"/>
    <w:rsid w:val="17DF51B5"/>
    <w:rsid w:val="19AF0CB4"/>
    <w:rsid w:val="1B8F7EC5"/>
    <w:rsid w:val="1CBA412F"/>
    <w:rsid w:val="1D7D5C02"/>
    <w:rsid w:val="243954FA"/>
    <w:rsid w:val="24606D45"/>
    <w:rsid w:val="24E14DA9"/>
    <w:rsid w:val="29A74DB5"/>
    <w:rsid w:val="2D066A6A"/>
    <w:rsid w:val="324F7826"/>
    <w:rsid w:val="34942D3C"/>
    <w:rsid w:val="356419B4"/>
    <w:rsid w:val="367407E3"/>
    <w:rsid w:val="3AC02107"/>
    <w:rsid w:val="3B2F4CA9"/>
    <w:rsid w:val="3CB75A2A"/>
    <w:rsid w:val="3DAA24C1"/>
    <w:rsid w:val="3E6212E9"/>
    <w:rsid w:val="42C1567B"/>
    <w:rsid w:val="497B1954"/>
    <w:rsid w:val="4B36461A"/>
    <w:rsid w:val="4DB5424D"/>
    <w:rsid w:val="4EC5306C"/>
    <w:rsid w:val="500E32DB"/>
    <w:rsid w:val="513D540F"/>
    <w:rsid w:val="56910414"/>
    <w:rsid w:val="577FE4F9"/>
    <w:rsid w:val="58160210"/>
    <w:rsid w:val="582232DD"/>
    <w:rsid w:val="5EFBF2BA"/>
    <w:rsid w:val="5FE1EC47"/>
    <w:rsid w:val="6521617A"/>
    <w:rsid w:val="6BAD1D93"/>
    <w:rsid w:val="6D342338"/>
    <w:rsid w:val="6DC0799D"/>
    <w:rsid w:val="6EF7315D"/>
    <w:rsid w:val="6FF60E01"/>
    <w:rsid w:val="75BF1C00"/>
    <w:rsid w:val="77554950"/>
    <w:rsid w:val="77BFAB79"/>
    <w:rsid w:val="77EDFBB6"/>
    <w:rsid w:val="77FBE858"/>
    <w:rsid w:val="780F7457"/>
    <w:rsid w:val="7B1664F4"/>
    <w:rsid w:val="7E67E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5:docId w15:val="{89317188-2D01-4DFE-B5CA-9D3CC8DA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unhideWhenUsed="1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f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paragraph" w:styleId="7">
    <w:name w:val="toc 7"/>
    <w:basedOn w:val="aff"/>
    <w:next w:val="aff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"/>
    <w:next w:val="aff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3">
    <w:name w:val="caption"/>
    <w:basedOn w:val="aff"/>
    <w:next w:val="aff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"/>
    <w:next w:val="aff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4">
    <w:name w:val="Document Map"/>
    <w:basedOn w:val="aff"/>
    <w:link w:val="Char"/>
    <w:semiHidden/>
    <w:qFormat/>
    <w:pPr>
      <w:shd w:val="clear" w:color="auto" w:fill="000080"/>
    </w:pPr>
  </w:style>
  <w:style w:type="paragraph" w:styleId="6">
    <w:name w:val="index 6"/>
    <w:basedOn w:val="aff"/>
    <w:next w:val="aff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"/>
    <w:next w:val="aff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"/>
    <w:next w:val="aff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"/>
    <w:next w:val="aff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ff"/>
    <w:next w:val="aff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"/>
    <w:next w:val="aff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5">
    <w:name w:val="endnote text"/>
    <w:basedOn w:val="aff"/>
    <w:link w:val="Char0"/>
    <w:semiHidden/>
    <w:qFormat/>
    <w:pPr>
      <w:snapToGrid w:val="0"/>
      <w:jc w:val="left"/>
    </w:pPr>
  </w:style>
  <w:style w:type="paragraph" w:styleId="aff6">
    <w:name w:val="Balloon Text"/>
    <w:basedOn w:val="aff"/>
    <w:link w:val="Char1"/>
    <w:uiPriority w:val="99"/>
    <w:semiHidden/>
    <w:unhideWhenUsed/>
    <w:qFormat/>
    <w:rPr>
      <w:sz w:val="18"/>
      <w:szCs w:val="18"/>
    </w:rPr>
  </w:style>
  <w:style w:type="paragraph" w:styleId="aff7">
    <w:name w:val="footer"/>
    <w:basedOn w:val="aff"/>
    <w:link w:val="Char2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header"/>
    <w:basedOn w:val="aff"/>
    <w:link w:val="Char3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f"/>
    <w:next w:val="aff"/>
    <w:semiHidden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"/>
    <w:next w:val="aff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9">
    <w:name w:val="index heading"/>
    <w:basedOn w:val="aff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f"/>
    <w:next w:val="aff"/>
    <w:unhideWhenUsed/>
    <w:qFormat/>
  </w:style>
  <w:style w:type="paragraph" w:styleId="af">
    <w:name w:val="footnote text"/>
    <w:basedOn w:val="aff"/>
    <w:link w:val="Char4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"/>
    <w:next w:val="aff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"/>
    <w:next w:val="aff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"/>
    <w:next w:val="aff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"/>
    <w:next w:val="aff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"/>
    <w:next w:val="aff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"/>
    <w:next w:val="aff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a">
    <w:name w:val="Table Grid"/>
    <w:basedOn w:val="aff1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Strong"/>
    <w:basedOn w:val="aff0"/>
    <w:uiPriority w:val="22"/>
    <w:qFormat/>
    <w:rPr>
      <w:b/>
    </w:rPr>
  </w:style>
  <w:style w:type="character" w:styleId="affc">
    <w:name w:val="endnote reference"/>
    <w:semiHidden/>
    <w:qFormat/>
    <w:rPr>
      <w:vertAlign w:val="superscript"/>
    </w:rPr>
  </w:style>
  <w:style w:type="character" w:styleId="affd">
    <w:name w:val="page number"/>
    <w:qFormat/>
    <w:rPr>
      <w:rFonts w:ascii="Times New Roman" w:eastAsia="宋体" w:hAnsi="Times New Roman"/>
      <w:sz w:val="18"/>
    </w:rPr>
  </w:style>
  <w:style w:type="character" w:styleId="affe">
    <w:name w:val="FollowedHyperlink"/>
    <w:basedOn w:val="aff0"/>
    <w:uiPriority w:val="99"/>
    <w:semiHidden/>
    <w:unhideWhenUsed/>
    <w:qFormat/>
    <w:rPr>
      <w:color w:val="800080" w:themeColor="followedHyperlink"/>
      <w:u w:val="single"/>
    </w:rPr>
  </w:style>
  <w:style w:type="character" w:styleId="afff">
    <w:name w:val="Emphasis"/>
    <w:basedOn w:val="aff0"/>
    <w:uiPriority w:val="20"/>
    <w:qFormat/>
    <w:rPr>
      <w:i/>
    </w:rPr>
  </w:style>
  <w:style w:type="character" w:styleId="afff0">
    <w:name w:val="Hyperlink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f1">
    <w:name w:val="footnote reference"/>
    <w:semiHidden/>
    <w:qFormat/>
    <w:rPr>
      <w:vertAlign w:val="superscript"/>
    </w:rPr>
  </w:style>
  <w:style w:type="character" w:customStyle="1" w:styleId="Char5">
    <w:name w:val="首示例 Char"/>
    <w:link w:val="a0"/>
    <w:qFormat/>
    <w:rPr>
      <w:rFonts w:ascii="宋体" w:hAnsi="宋体"/>
      <w:sz w:val="18"/>
      <w:szCs w:val="18"/>
    </w:rPr>
  </w:style>
  <w:style w:type="paragraph" w:customStyle="1" w:styleId="a0">
    <w:name w:val="首示例"/>
    <w:next w:val="afff2"/>
    <w:link w:val="Char5"/>
    <w:qFormat/>
    <w:pPr>
      <w:numPr>
        <w:numId w:val="2"/>
      </w:numPr>
      <w:tabs>
        <w:tab w:val="left" w:pos="360"/>
      </w:tabs>
      <w:ind w:firstLine="0"/>
    </w:pPr>
    <w:rPr>
      <w:rFonts w:ascii="宋体" w:eastAsiaTheme="minorEastAsia" w:hAnsi="宋体" w:cstheme="minorBidi"/>
      <w:kern w:val="2"/>
      <w:sz w:val="18"/>
      <w:szCs w:val="18"/>
    </w:rPr>
  </w:style>
  <w:style w:type="paragraph" w:customStyle="1" w:styleId="afff2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Style4">
    <w:name w:val="_Style 4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fff3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7">
    <w:name w:val="附录公式 Char"/>
    <w:basedOn w:val="Char6"/>
    <w:link w:val="afff4"/>
    <w:qFormat/>
    <w:rPr>
      <w:rFonts w:ascii="宋体"/>
    </w:rPr>
  </w:style>
  <w:style w:type="character" w:customStyle="1" w:styleId="Char6">
    <w:name w:val="段 Char"/>
    <w:link w:val="afff2"/>
    <w:qFormat/>
    <w:rPr>
      <w:rFonts w:ascii="宋体"/>
    </w:rPr>
  </w:style>
  <w:style w:type="paragraph" w:customStyle="1" w:styleId="afff4">
    <w:name w:val="附录公式"/>
    <w:basedOn w:val="afff2"/>
    <w:next w:val="afff2"/>
    <w:link w:val="Char7"/>
    <w:qFormat/>
  </w:style>
  <w:style w:type="paragraph" w:customStyle="1" w:styleId="afff5">
    <w:name w:val="图标脚注说明"/>
    <w:basedOn w:val="afff2"/>
    <w:qFormat/>
    <w:pPr>
      <w:ind w:left="840" w:firstLineChars="0" w:hanging="420"/>
    </w:pPr>
    <w:rPr>
      <w:sz w:val="18"/>
      <w:szCs w:val="18"/>
    </w:rPr>
  </w:style>
  <w:style w:type="paragraph" w:customStyle="1" w:styleId="21">
    <w:name w:val="封面标准名称2"/>
    <w:basedOn w:val="afff6"/>
    <w:qFormat/>
    <w:pPr>
      <w:framePr w:wrap="around" w:y="4469"/>
      <w:spacing w:beforeLines="630"/>
    </w:pPr>
  </w:style>
  <w:style w:type="paragraph" w:customStyle="1" w:styleId="afff6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character" w:customStyle="1" w:styleId="Char">
    <w:name w:val="文档结构图 Char"/>
    <w:basedOn w:val="aff0"/>
    <w:link w:val="aff4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7">
    <w:name w:val="附录四级无"/>
    <w:basedOn w:val="afff8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8">
    <w:name w:val="附录四级条标题"/>
    <w:basedOn w:val="afb"/>
    <w:next w:val="afff2"/>
    <w:qFormat/>
    <w:pPr>
      <w:numPr>
        <w:ilvl w:val="0"/>
        <w:numId w:val="0"/>
      </w:numPr>
      <w:outlineLvl w:val="5"/>
    </w:pPr>
  </w:style>
  <w:style w:type="paragraph" w:customStyle="1" w:styleId="afb">
    <w:name w:val="附录三级条标题"/>
    <w:basedOn w:val="afa"/>
    <w:next w:val="afff2"/>
    <w:qFormat/>
    <w:pPr>
      <w:numPr>
        <w:ilvl w:val="4"/>
      </w:numPr>
      <w:outlineLvl w:val="4"/>
    </w:pPr>
  </w:style>
  <w:style w:type="paragraph" w:customStyle="1" w:styleId="afa">
    <w:name w:val="附录二级条标题"/>
    <w:basedOn w:val="aff"/>
    <w:next w:val="afff2"/>
    <w:qFormat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character" w:customStyle="1" w:styleId="Char3">
    <w:name w:val="页眉 Char"/>
    <w:basedOn w:val="aff0"/>
    <w:link w:val="aff8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fff9">
    <w:name w:val="其他实施日期"/>
    <w:basedOn w:val="afffa"/>
    <w:qFormat/>
    <w:pPr>
      <w:framePr w:wrap="around"/>
    </w:pPr>
  </w:style>
  <w:style w:type="paragraph" w:customStyle="1" w:styleId="afffa">
    <w:name w:val="实施日期"/>
    <w:basedOn w:val="afffb"/>
    <w:qFormat/>
    <w:pPr>
      <w:framePr w:wrap="around" w:vAnchor="page" w:hAnchor="text"/>
      <w:jc w:val="right"/>
    </w:pPr>
  </w:style>
  <w:style w:type="paragraph" w:customStyle="1" w:styleId="afffb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c">
    <w:name w:val="前言、引言标题"/>
    <w:next w:val="afff2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character" w:customStyle="1" w:styleId="Char2">
    <w:name w:val="页脚 Char"/>
    <w:basedOn w:val="aff0"/>
    <w:link w:val="aff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2">
    <w:name w:val="图表脚注说明"/>
    <w:basedOn w:val="aff"/>
    <w:qFormat/>
    <w:pPr>
      <w:numPr>
        <w:numId w:val="4"/>
      </w:numPr>
    </w:pPr>
    <w:rPr>
      <w:rFonts w:ascii="宋体"/>
      <w:sz w:val="18"/>
      <w:szCs w:val="18"/>
    </w:rPr>
  </w:style>
  <w:style w:type="paragraph" w:customStyle="1" w:styleId="afffd">
    <w:name w:val="封面标准文稿类别"/>
    <w:basedOn w:val="afffe"/>
    <w:qFormat/>
    <w:pPr>
      <w:framePr w:wrap="around"/>
      <w:spacing w:after="160" w:line="240" w:lineRule="auto"/>
    </w:pPr>
    <w:rPr>
      <w:sz w:val="24"/>
    </w:rPr>
  </w:style>
  <w:style w:type="paragraph" w:customStyle="1" w:styleId="afffe">
    <w:name w:val="封面一致性程度标识"/>
    <w:basedOn w:val="affff"/>
    <w:qFormat/>
    <w:pPr>
      <w:framePr w:wrap="around"/>
      <w:spacing w:before="440"/>
    </w:pPr>
    <w:rPr>
      <w:rFonts w:ascii="宋体" w:eastAsia="宋体"/>
    </w:rPr>
  </w:style>
  <w:style w:type="paragraph" w:customStyle="1" w:styleId="affff">
    <w:name w:val="封面标准英文名称"/>
    <w:basedOn w:val="afff6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character" w:customStyle="1" w:styleId="Char0">
    <w:name w:val="尾注文本 Char"/>
    <w:basedOn w:val="aff0"/>
    <w:link w:val="aff5"/>
    <w:semiHidden/>
    <w:qFormat/>
    <w:rPr>
      <w:rFonts w:ascii="Times New Roman" w:eastAsia="宋体" w:hAnsi="Times New Roman" w:cs="Times New Roman"/>
      <w:szCs w:val="24"/>
    </w:rPr>
  </w:style>
  <w:style w:type="paragraph" w:customStyle="1" w:styleId="afd">
    <w:name w:val="附录数字编号列项（二级）"/>
    <w:qFormat/>
    <w:pPr>
      <w:numPr>
        <w:ilvl w:val="1"/>
        <w:numId w:val="5"/>
      </w:numPr>
    </w:pPr>
    <w:rPr>
      <w:rFonts w:ascii="宋体"/>
      <w:sz w:val="21"/>
    </w:rPr>
  </w:style>
  <w:style w:type="paragraph" w:customStyle="1" w:styleId="22">
    <w:name w:val="封面标准英文名称2"/>
    <w:basedOn w:val="affff"/>
    <w:qFormat/>
    <w:pPr>
      <w:framePr w:wrap="around" w:y="4469"/>
    </w:pPr>
  </w:style>
  <w:style w:type="character" w:customStyle="1" w:styleId="Char4">
    <w:name w:val="脚注文本 Char"/>
    <w:basedOn w:val="aff0"/>
    <w:link w:val="af"/>
    <w:qFormat/>
    <w:rPr>
      <w:rFonts w:ascii="宋体" w:eastAsia="宋体" w:hAnsi="Times New Roman" w:cs="Times New Roman"/>
      <w:sz w:val="18"/>
      <w:szCs w:val="18"/>
    </w:rPr>
  </w:style>
  <w:style w:type="paragraph" w:customStyle="1" w:styleId="a9">
    <w:name w:val="五级条标题"/>
    <w:basedOn w:val="a8"/>
    <w:next w:val="afff2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2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2"/>
    <w:qFormat/>
    <w:pPr>
      <w:numPr>
        <w:ilvl w:val="3"/>
      </w:numPr>
      <w:ind w:left="0"/>
      <w:outlineLvl w:val="4"/>
    </w:pPr>
  </w:style>
  <w:style w:type="paragraph" w:customStyle="1" w:styleId="a6">
    <w:name w:val="二级条标题"/>
    <w:basedOn w:val="a5"/>
    <w:next w:val="afff2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一级条标题"/>
    <w:next w:val="afff2"/>
    <w:qFormat/>
    <w:pPr>
      <w:numPr>
        <w:ilvl w:val="1"/>
        <w:numId w:val="6"/>
      </w:numPr>
      <w:spacing w:beforeLines="50" w:afterLines="50"/>
      <w:ind w:left="709"/>
      <w:outlineLvl w:val="2"/>
    </w:pPr>
    <w:rPr>
      <w:rFonts w:ascii="黑体" w:eastAsia="黑体"/>
      <w:sz w:val="21"/>
      <w:szCs w:val="21"/>
    </w:rPr>
  </w:style>
  <w:style w:type="paragraph" w:customStyle="1" w:styleId="afe">
    <w:name w:val="注："/>
    <w:next w:val="afff2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0">
    <w:name w:val="正文公式编号制表符"/>
    <w:basedOn w:val="afff2"/>
    <w:next w:val="afff2"/>
    <w:qFormat/>
    <w:pPr>
      <w:ind w:firstLineChars="0" w:firstLine="0"/>
    </w:pPr>
  </w:style>
  <w:style w:type="paragraph" w:customStyle="1" w:styleId="affff1">
    <w:name w:val="条文脚注"/>
    <w:basedOn w:val="af"/>
    <w:qFormat/>
    <w:pPr>
      <w:numPr>
        <w:numId w:val="0"/>
      </w:numPr>
      <w:jc w:val="both"/>
    </w:pPr>
  </w:style>
  <w:style w:type="paragraph" w:customStyle="1" w:styleId="af9">
    <w:name w:val="附录章标题"/>
    <w:next w:val="afff2"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2">
    <w:name w:val="附录一级无"/>
    <w:basedOn w:val="affff3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一级条标题"/>
    <w:basedOn w:val="af9"/>
    <w:next w:val="afff2"/>
    <w:qFormat/>
    <w:pPr>
      <w:numPr>
        <w:ilvl w:val="0"/>
        <w:numId w:val="0"/>
      </w:numPr>
      <w:autoSpaceDN w:val="0"/>
      <w:spacing w:beforeLines="50" w:afterLines="50"/>
      <w:outlineLvl w:val="2"/>
    </w:pPr>
  </w:style>
  <w:style w:type="paragraph" w:customStyle="1" w:styleId="affff4">
    <w:name w:val="列项说明"/>
    <w:basedOn w:val="aff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a">
    <w:name w:val="附录图标号"/>
    <w:basedOn w:val="aff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0">
    <w:name w:val="字母编号列项（一级）"/>
    <w:qFormat/>
    <w:pPr>
      <w:numPr>
        <w:numId w:val="9"/>
      </w:numPr>
      <w:jc w:val="both"/>
    </w:pPr>
    <w:rPr>
      <w:rFonts w:ascii="宋体"/>
      <w:sz w:val="21"/>
    </w:rPr>
  </w:style>
  <w:style w:type="paragraph" w:customStyle="1" w:styleId="ad">
    <w:name w:val="列项●（二级）"/>
    <w:qFormat/>
    <w:pPr>
      <w:numPr>
        <w:ilvl w:val="1"/>
        <w:numId w:val="10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示例"/>
    <w:next w:val="affff5"/>
    <w:qFormat/>
    <w:pPr>
      <w:widowControl w:val="0"/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3">
    <w:name w:val="示例×："/>
    <w:basedOn w:val="a4"/>
    <w:qFormat/>
    <w:pPr>
      <w:numPr>
        <w:numId w:val="12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4">
    <w:name w:val="章标题"/>
    <w:next w:val="afff2"/>
    <w:qFormat/>
    <w:pPr>
      <w:numPr>
        <w:numId w:val="6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7">
    <w:name w:val="正文表标题"/>
    <w:next w:val="afff2"/>
    <w:qFormat/>
    <w:pPr>
      <w:numPr>
        <w:numId w:val="13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6">
    <w:name w:val="封面标准文稿编辑信息"/>
    <w:basedOn w:val="afffd"/>
    <w:qFormat/>
    <w:pPr>
      <w:framePr w:wrap="around"/>
      <w:spacing w:before="180" w:line="180" w:lineRule="exact"/>
    </w:pPr>
    <w:rPr>
      <w:sz w:val="21"/>
    </w:rPr>
  </w:style>
  <w:style w:type="paragraph" w:customStyle="1" w:styleId="affff7">
    <w:name w:val="标准书眉一"/>
    <w:qFormat/>
    <w:pPr>
      <w:jc w:val="both"/>
    </w:pPr>
  </w:style>
  <w:style w:type="paragraph" w:customStyle="1" w:styleId="affff8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23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9">
    <w:name w:val="标准称谓"/>
    <w:next w:val="aff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a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b">
    <w:name w:val="附录五级无"/>
    <w:basedOn w:val="affffc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fffc">
    <w:name w:val="附录五级条标题"/>
    <w:basedOn w:val="afff8"/>
    <w:next w:val="afff2"/>
    <w:qFormat/>
    <w:pPr>
      <w:numPr>
        <w:ilvl w:val="6"/>
      </w:numPr>
      <w:outlineLvl w:val="6"/>
    </w:pPr>
  </w:style>
  <w:style w:type="paragraph" w:customStyle="1" w:styleId="af4">
    <w:name w:val="正文图标题"/>
    <w:next w:val="afff2"/>
    <w:qFormat/>
    <w:pPr>
      <w:numPr>
        <w:numId w:val="14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6">
    <w:name w:val="附录表标题"/>
    <w:basedOn w:val="aff"/>
    <w:next w:val="afff2"/>
    <w:qFormat/>
    <w:pPr>
      <w:numPr>
        <w:ilvl w:val="1"/>
        <w:numId w:val="15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2">
    <w:name w:val="编号列项（三级）"/>
    <w:qFormat/>
    <w:pPr>
      <w:numPr>
        <w:ilvl w:val="2"/>
        <w:numId w:val="9"/>
      </w:numPr>
    </w:pPr>
    <w:rPr>
      <w:rFonts w:ascii="宋体"/>
      <w:sz w:val="21"/>
    </w:rPr>
  </w:style>
  <w:style w:type="paragraph" w:customStyle="1" w:styleId="affffd">
    <w:name w:val="标准书眉_奇数页"/>
    <w:next w:val="aff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24">
    <w:name w:val="封面一致性程度标识2"/>
    <w:basedOn w:val="afffe"/>
    <w:qFormat/>
    <w:pPr>
      <w:framePr w:wrap="around" w:y="4469"/>
    </w:pPr>
  </w:style>
  <w:style w:type="paragraph" w:customStyle="1" w:styleId="a">
    <w:name w:val="注×："/>
    <w:qFormat/>
    <w:pPr>
      <w:widowControl w:val="0"/>
      <w:numPr>
        <w:numId w:val="1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8">
    <w:name w:val="附录标识"/>
    <w:basedOn w:val="aff"/>
    <w:next w:val="afff2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e">
    <w:name w:val="列项◆（三级）"/>
    <w:basedOn w:val="aff"/>
    <w:qFormat/>
    <w:pPr>
      <w:numPr>
        <w:ilvl w:val="2"/>
        <w:numId w:val="10"/>
      </w:numPr>
    </w:pPr>
    <w:rPr>
      <w:rFonts w:ascii="宋体"/>
      <w:szCs w:val="21"/>
    </w:rPr>
  </w:style>
  <w:style w:type="paragraph" w:customStyle="1" w:styleId="affffe">
    <w:name w:val="注：（正文）"/>
    <w:basedOn w:val="afe"/>
    <w:next w:val="afff2"/>
    <w:qFormat/>
  </w:style>
  <w:style w:type="paragraph" w:customStyle="1" w:styleId="afffff">
    <w:name w:val="一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0">
    <w:name w:val="二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ff1">
    <w:name w:val="标准书眉_偶数页"/>
    <w:basedOn w:val="affffd"/>
    <w:next w:val="aff"/>
    <w:qFormat/>
    <w:pPr>
      <w:jc w:val="left"/>
    </w:pPr>
  </w:style>
  <w:style w:type="paragraph" w:customStyle="1" w:styleId="afffff2">
    <w:name w:val="附录三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3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c">
    <w:name w:val="列项——（一级）"/>
    <w:qFormat/>
    <w:pPr>
      <w:widowControl w:val="0"/>
      <w:numPr>
        <w:numId w:val="10"/>
      </w:numPr>
      <w:jc w:val="both"/>
    </w:pPr>
    <w:rPr>
      <w:rFonts w:ascii="宋体"/>
      <w:sz w:val="21"/>
    </w:rPr>
  </w:style>
  <w:style w:type="paragraph" w:customStyle="1" w:styleId="afffff4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f5">
    <w:name w:val="目次、标准名称标题"/>
    <w:basedOn w:val="aff"/>
    <w:next w:val="afff2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ff6">
    <w:name w:val="参考文献"/>
    <w:basedOn w:val="aff"/>
    <w:next w:val="afff2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7">
    <w:name w:val="四级无"/>
    <w:basedOn w:val="a8"/>
    <w:qFormat/>
    <w:pPr>
      <w:spacing w:beforeLines="0" w:afterLines="0"/>
    </w:pPr>
    <w:rPr>
      <w:rFonts w:ascii="宋体" w:eastAsia="宋体"/>
    </w:rPr>
  </w:style>
  <w:style w:type="paragraph" w:customStyle="1" w:styleId="af1">
    <w:name w:val="数字编号列项（二级）"/>
    <w:qFormat/>
    <w:pPr>
      <w:numPr>
        <w:ilvl w:val="1"/>
        <w:numId w:val="9"/>
      </w:numPr>
      <w:jc w:val="both"/>
    </w:pPr>
    <w:rPr>
      <w:rFonts w:ascii="宋体"/>
      <w:sz w:val="21"/>
    </w:rPr>
  </w:style>
  <w:style w:type="paragraph" w:customStyle="1" w:styleId="afffff8">
    <w:name w:val="封面正文"/>
    <w:qFormat/>
    <w:pPr>
      <w:jc w:val="both"/>
    </w:pPr>
  </w:style>
  <w:style w:type="paragraph" w:customStyle="1" w:styleId="afffff9">
    <w:name w:val="参考文献、索引标题"/>
    <w:basedOn w:val="aff"/>
    <w:next w:val="afff2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标准标志"/>
    <w:next w:val="aff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b">
    <w:name w:val="其他发布日期"/>
    <w:basedOn w:val="afffb"/>
    <w:qFormat/>
    <w:pPr>
      <w:framePr w:wrap="around" w:vAnchor="page" w:hAnchor="text" w:x="1419"/>
    </w:pPr>
  </w:style>
  <w:style w:type="paragraph" w:customStyle="1" w:styleId="a3">
    <w:name w:val="注×：（正文）"/>
    <w:qFormat/>
    <w:pPr>
      <w:numPr>
        <w:numId w:val="17"/>
      </w:numPr>
      <w:jc w:val="both"/>
    </w:pPr>
    <w:rPr>
      <w:rFonts w:ascii="宋体"/>
      <w:sz w:val="18"/>
      <w:szCs w:val="18"/>
    </w:rPr>
  </w:style>
  <w:style w:type="paragraph" w:customStyle="1" w:styleId="afffffc">
    <w:name w:val="发布部门"/>
    <w:next w:val="afff2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d">
    <w:name w:val="附录标题"/>
    <w:basedOn w:val="afff2"/>
    <w:next w:val="afff2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"/>
    <w:next w:val="afff2"/>
    <w:qFormat/>
    <w:pPr>
      <w:numPr>
        <w:numId w:val="15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5">
    <w:name w:val="封面标准文稿类别2"/>
    <w:basedOn w:val="afffd"/>
    <w:qFormat/>
    <w:pPr>
      <w:framePr w:wrap="around" w:y="4469"/>
    </w:pPr>
  </w:style>
  <w:style w:type="paragraph" w:customStyle="1" w:styleId="afffffe">
    <w:name w:val="五级无"/>
    <w:basedOn w:val="a9"/>
    <w:qFormat/>
    <w:pPr>
      <w:spacing w:beforeLines="0" w:afterLines="0"/>
    </w:pPr>
    <w:rPr>
      <w:rFonts w:ascii="宋体" w:eastAsia="宋体"/>
    </w:rPr>
  </w:style>
  <w:style w:type="paragraph" w:customStyle="1" w:styleId="ab">
    <w:name w:val="附录图标题"/>
    <w:basedOn w:val="aff"/>
    <w:next w:val="afff2"/>
    <w:qFormat/>
    <w:pPr>
      <w:numPr>
        <w:ilvl w:val="1"/>
        <w:numId w:val="8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f">
    <w:name w:val="附录公式编号制表符"/>
    <w:basedOn w:val="aff"/>
    <w:next w:val="afff2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0">
    <w:name w:val="附录二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">
    <w:name w:val="封面标准文稿编辑信息2"/>
    <w:basedOn w:val="affff6"/>
    <w:qFormat/>
    <w:pPr>
      <w:framePr w:wrap="around" w:y="4469"/>
    </w:pPr>
  </w:style>
  <w:style w:type="paragraph" w:customStyle="1" w:styleId="affffff1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c">
    <w:name w:val="附录字母编号列项（一级）"/>
    <w:qFormat/>
    <w:pPr>
      <w:numPr>
        <w:numId w:val="5"/>
      </w:numPr>
    </w:pPr>
    <w:rPr>
      <w:rFonts w:ascii="宋体"/>
      <w:sz w:val="21"/>
    </w:rPr>
  </w:style>
  <w:style w:type="paragraph" w:customStyle="1" w:styleId="affffff2">
    <w:name w:val="其他发布部门"/>
    <w:basedOn w:val="afffffc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终结线"/>
    <w:basedOn w:val="aff"/>
    <w:qFormat/>
    <w:pPr>
      <w:framePr w:hSpace="181" w:vSpace="181" w:wrap="around" w:vAnchor="text" w:hAnchor="margin" w:xAlign="center" w:y="285"/>
    </w:pPr>
  </w:style>
  <w:style w:type="paragraph" w:customStyle="1" w:styleId="affffff4">
    <w:name w:val="其他标准标志"/>
    <w:basedOn w:val="afffffa"/>
    <w:qFormat/>
    <w:pPr>
      <w:framePr w:w="6101" w:wrap="around" w:vAnchor="page" w:hAnchor="page" w:x="4673" w:y="942"/>
    </w:pPr>
    <w:rPr>
      <w:w w:val="130"/>
    </w:rPr>
  </w:style>
  <w:style w:type="paragraph" w:customStyle="1" w:styleId="affffff5">
    <w:name w:val="其他标准称谓"/>
    <w:next w:val="aff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6">
    <w:name w:val="图的脚注"/>
    <w:next w:val="afff2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7">
    <w:name w:val="三级无"/>
    <w:basedOn w:val="a7"/>
    <w:qFormat/>
    <w:pPr>
      <w:spacing w:beforeLines="0" w:afterLines="0"/>
    </w:pPr>
    <w:rPr>
      <w:rFonts w:ascii="宋体" w:eastAsia="宋体"/>
    </w:rPr>
  </w:style>
  <w:style w:type="paragraph" w:customStyle="1" w:styleId="affffff8">
    <w:name w:val="示例后文字"/>
    <w:basedOn w:val="afff2"/>
    <w:next w:val="afff2"/>
    <w:qFormat/>
    <w:pPr>
      <w:ind w:firstLine="360"/>
    </w:pPr>
    <w:rPr>
      <w:sz w:val="18"/>
    </w:rPr>
  </w:style>
  <w:style w:type="paragraph" w:customStyle="1" w:styleId="affffff9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12">
    <w:name w:val="列出段落1"/>
    <w:basedOn w:val="aff"/>
    <w:uiPriority w:val="99"/>
    <w:qFormat/>
    <w:pPr>
      <w:spacing w:beforeLines="50" w:afterLines="50" w:line="360" w:lineRule="auto"/>
      <w:ind w:left="357" w:firstLineChars="200" w:firstLine="420"/>
    </w:pPr>
    <w:rPr>
      <w:szCs w:val="21"/>
    </w:rPr>
  </w:style>
  <w:style w:type="character" w:customStyle="1" w:styleId="Char1">
    <w:name w:val="批注框文本 Char"/>
    <w:basedOn w:val="aff0"/>
    <w:link w:val="aff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style7">
    <w:name w:val="style7"/>
    <w:basedOn w:val="aff0"/>
    <w:qFormat/>
  </w:style>
  <w:style w:type="paragraph" w:customStyle="1" w:styleId="13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style71">
    <w:name w:val="style71"/>
    <w:basedOn w:val="aff0"/>
    <w:uiPriority w:val="99"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572</Words>
  <Characters>3262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20171221-5</dc:creator>
  <cp:lastModifiedBy>马雪</cp:lastModifiedBy>
  <cp:revision>43</cp:revision>
  <cp:lastPrinted>2025-08-21T01:00:00Z</cp:lastPrinted>
  <dcterms:created xsi:type="dcterms:W3CDTF">2018-02-06T19:24:00Z</dcterms:created>
  <dcterms:modified xsi:type="dcterms:W3CDTF">2026-04-14T06:03:00Z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2D232FCA360FA6EEC4172D6949E240C9</vt:lpwstr>
  </property>
  <property fmtid="{D5CDD505-2E9C-101B-9397-08002B2CF9AE}" pid="4" name="KSOTemplateDocerSaveRecord">
    <vt:lpwstr>eyJoZGlkIjoiNGVhMjM2Y2I3ZDZkM2NkMjZiNTMwYTVkY2YyMmFkMWUiLCJ1c2VySWQiOiIyNTYxMDQwNjQifQ==</vt:lpwstr>
  </property>
</Properties>
</file>